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94" w:rsidRDefault="00910232">
      <w:pPr>
        <w:widowControl w:val="0"/>
        <w:spacing w:after="100"/>
        <w:jc w:val="center"/>
        <w:rPr>
          <w:rFonts w:ascii="Times" w:eastAsia="Times" w:hAnsi="Times" w:cs="Times"/>
          <w:sz w:val="28"/>
          <w:szCs w:val="28"/>
        </w:rPr>
      </w:pPr>
      <w:r>
        <w:rPr>
          <w:rFonts w:ascii="Times" w:eastAsia="Times" w:hAnsi="Times" w:cs="Times"/>
          <w:sz w:val="28"/>
          <w:szCs w:val="28"/>
        </w:rPr>
        <w:t>IN THE DISTRICT COURT OF APPEAL OF THE STATE OF FLORIDA FOURTH DISTRICT, 1525 PALM BEACH LAKES BLVD., WEST PALM BEACH, FL 33401</w:t>
      </w:r>
    </w:p>
    <w:p w:rsidR="00BF2B94" w:rsidRDefault="00BF2B94"/>
    <w:p w:rsidR="00BF2B94" w:rsidRDefault="00910232">
      <w:pPr>
        <w:widowControl w:val="0"/>
        <w:spacing w:after="100"/>
        <w:rPr>
          <w:rFonts w:ascii="Times" w:eastAsia="Times" w:hAnsi="Times" w:cs="Times"/>
          <w:sz w:val="28"/>
          <w:szCs w:val="28"/>
        </w:rPr>
      </w:pPr>
      <w:r>
        <w:rPr>
          <w:rFonts w:ascii="Times" w:eastAsia="Times" w:hAnsi="Times" w:cs="Times"/>
          <w:sz w:val="28"/>
          <w:szCs w:val="28"/>
        </w:rPr>
        <w:t xml:space="preserve">                                                                      CASE NO.: 4D16-0222 </w:t>
      </w:r>
    </w:p>
    <w:p w:rsidR="00BF2B94" w:rsidRDefault="00910232">
      <w:pPr>
        <w:widowControl w:val="0"/>
        <w:spacing w:after="100"/>
        <w:rPr>
          <w:rFonts w:ascii="Times" w:eastAsia="Times" w:hAnsi="Times" w:cs="Times"/>
          <w:sz w:val="28"/>
          <w:szCs w:val="28"/>
        </w:rPr>
      </w:pPr>
      <w:r>
        <w:rPr>
          <w:rFonts w:ascii="Times" w:eastAsia="Times" w:hAnsi="Times" w:cs="Times"/>
          <w:sz w:val="28"/>
          <w:szCs w:val="28"/>
        </w:rPr>
        <w:t xml:space="preserve">                                                                      L.T. No.: 502014CP003698XXXXNB;                         </w:t>
      </w:r>
    </w:p>
    <w:p w:rsidR="00BF2B94" w:rsidRDefault="00910232">
      <w:pPr>
        <w:widowControl w:val="0"/>
        <w:spacing w:after="100"/>
        <w:rPr>
          <w:rFonts w:ascii="Times" w:eastAsia="Times" w:hAnsi="Times" w:cs="Times"/>
          <w:sz w:val="28"/>
          <w:szCs w:val="28"/>
        </w:rPr>
      </w:pPr>
      <w:r>
        <w:rPr>
          <w:rFonts w:ascii="Times" w:eastAsia="Times" w:hAnsi="Times" w:cs="Times"/>
          <w:sz w:val="28"/>
          <w:szCs w:val="28"/>
        </w:rPr>
        <w:t xml:space="preserve">                                                                      L.T. No.: 2011CP000653 </w:t>
      </w:r>
      <w:proofErr w:type="spellStart"/>
      <w:r>
        <w:rPr>
          <w:rFonts w:ascii="Times" w:eastAsia="Times" w:hAnsi="Times" w:cs="Times"/>
          <w:sz w:val="28"/>
          <w:szCs w:val="28"/>
        </w:rPr>
        <w:t>XXXXSB</w:t>
      </w:r>
      <w:proofErr w:type="spellEnd"/>
    </w:p>
    <w:p w:rsidR="00BF2B94" w:rsidRDefault="00BF2B94">
      <w:pPr>
        <w:widowControl w:val="0"/>
        <w:spacing w:after="100"/>
        <w:ind w:firstLine="72"/>
        <w:rPr>
          <w:rFonts w:ascii="Times" w:eastAsia="Times" w:hAnsi="Times" w:cs="Times"/>
          <w:sz w:val="28"/>
          <w:szCs w:val="28"/>
        </w:rPr>
      </w:pPr>
    </w:p>
    <w:p w:rsidR="00910232" w:rsidRDefault="00910232" w:rsidP="00910232">
      <w:pPr>
        <w:widowControl w:val="0"/>
        <w:spacing w:after="100"/>
        <w:rPr>
          <w:rFonts w:ascii="Times" w:eastAsia="Times" w:hAnsi="Times" w:cs="Times"/>
          <w:sz w:val="28"/>
          <w:szCs w:val="28"/>
        </w:rPr>
      </w:pPr>
      <w:proofErr w:type="gramStart"/>
      <w:r>
        <w:rPr>
          <w:rFonts w:ascii="Times" w:eastAsia="Times" w:hAnsi="Times" w:cs="Times"/>
          <w:sz w:val="28"/>
          <w:szCs w:val="28"/>
        </w:rPr>
        <w:t>ELIOT IVAN BERNSTEIN      v.</w:t>
      </w:r>
      <w:proofErr w:type="gramEnd"/>
      <w:r>
        <w:rPr>
          <w:rFonts w:ascii="Times" w:eastAsia="Times" w:hAnsi="Times" w:cs="Times"/>
          <w:sz w:val="28"/>
          <w:szCs w:val="28"/>
        </w:rPr>
        <w:t xml:space="preserve">     </w:t>
      </w:r>
      <w:r>
        <w:rPr>
          <w:rFonts w:ascii="Times" w:eastAsia="Times" w:hAnsi="Times" w:cs="Times"/>
          <w:sz w:val="28"/>
          <w:szCs w:val="28"/>
        </w:rPr>
        <w:tab/>
      </w:r>
      <w:r>
        <w:rPr>
          <w:rFonts w:ascii="Times" w:eastAsia="Times" w:hAnsi="Times" w:cs="Times"/>
          <w:sz w:val="28"/>
          <w:szCs w:val="28"/>
        </w:rPr>
        <w:t xml:space="preserve">Ted Bernstein, acting as alleged Trustee of </w:t>
      </w:r>
    </w:p>
    <w:p w:rsidR="00910232" w:rsidRDefault="00910232" w:rsidP="00910232">
      <w:pPr>
        <w:widowControl w:val="0"/>
        <w:tabs>
          <w:tab w:val="left" w:pos="2430"/>
        </w:tabs>
        <w:spacing w:after="100"/>
        <w:ind w:left="3600" w:firstLine="720"/>
        <w:rPr>
          <w:rFonts w:ascii="Times" w:eastAsia="Times" w:hAnsi="Times" w:cs="Times"/>
          <w:sz w:val="28"/>
          <w:szCs w:val="28"/>
        </w:rPr>
      </w:pPr>
      <w:proofErr w:type="gramStart"/>
      <w:r>
        <w:rPr>
          <w:rFonts w:ascii="Times" w:eastAsia="Times" w:hAnsi="Times" w:cs="Times"/>
          <w:sz w:val="28"/>
          <w:szCs w:val="28"/>
        </w:rPr>
        <w:t>t</w:t>
      </w:r>
      <w:r>
        <w:rPr>
          <w:rFonts w:ascii="Times" w:eastAsia="Times" w:hAnsi="Times" w:cs="Times"/>
          <w:sz w:val="28"/>
          <w:szCs w:val="28"/>
        </w:rPr>
        <w:t>he</w:t>
      </w:r>
      <w:proofErr w:type="gramEnd"/>
      <w:r>
        <w:rPr>
          <w:rFonts w:ascii="Times" w:eastAsia="Times" w:hAnsi="Times" w:cs="Times"/>
          <w:sz w:val="28"/>
          <w:szCs w:val="28"/>
        </w:rPr>
        <w:t xml:space="preserve"> </w:t>
      </w:r>
      <w:r>
        <w:rPr>
          <w:rFonts w:ascii="Times" w:eastAsia="Times" w:hAnsi="Times" w:cs="Times"/>
          <w:sz w:val="28"/>
          <w:szCs w:val="28"/>
        </w:rPr>
        <w:t xml:space="preserve">Shirley Bernstein Trust, et al </w:t>
      </w:r>
    </w:p>
    <w:p w:rsidR="00BF2B94" w:rsidRDefault="00910232" w:rsidP="00910232">
      <w:pPr>
        <w:widowControl w:val="0"/>
        <w:spacing w:after="100" w:line="480" w:lineRule="auto"/>
        <w:rPr>
          <w:rFonts w:ascii="Times" w:eastAsia="Times" w:hAnsi="Times" w:cs="Times"/>
          <w:sz w:val="28"/>
          <w:szCs w:val="28"/>
        </w:rPr>
      </w:pPr>
      <w:r>
        <w:rPr>
          <w:rFonts w:ascii="Times" w:eastAsia="Times" w:hAnsi="Times" w:cs="Times"/>
          <w:sz w:val="28"/>
          <w:szCs w:val="28"/>
        </w:rPr>
        <w:t>______________________________________________________________</w:t>
      </w:r>
    </w:p>
    <w:p w:rsidR="00BF2B94" w:rsidRDefault="00910232">
      <w:pPr>
        <w:widowControl w:val="0"/>
        <w:spacing w:after="100"/>
        <w:rPr>
          <w:rFonts w:ascii="Times" w:eastAsia="Times" w:hAnsi="Times" w:cs="Times"/>
          <w:sz w:val="28"/>
          <w:szCs w:val="28"/>
        </w:rPr>
      </w:pPr>
      <w:r>
        <w:rPr>
          <w:rFonts w:ascii="Times" w:eastAsia="Times" w:hAnsi="Times" w:cs="Times"/>
          <w:sz w:val="28"/>
          <w:szCs w:val="28"/>
        </w:rPr>
        <w:t>Appellant / Petitioner(s)                     Appe</w:t>
      </w:r>
      <w:r>
        <w:rPr>
          <w:rFonts w:ascii="Times" w:eastAsia="Times" w:hAnsi="Times" w:cs="Times"/>
          <w:sz w:val="28"/>
          <w:szCs w:val="28"/>
        </w:rPr>
        <w:t xml:space="preserve">llee / Respondent(s) </w:t>
      </w:r>
    </w:p>
    <w:p w:rsidR="00BF2B94" w:rsidRDefault="00BF2B94">
      <w:pPr>
        <w:widowControl w:val="0"/>
        <w:spacing w:after="100"/>
        <w:rPr>
          <w:rFonts w:ascii="Times" w:eastAsia="Times" w:hAnsi="Times" w:cs="Times"/>
          <w:sz w:val="28"/>
          <w:szCs w:val="28"/>
        </w:rPr>
      </w:pPr>
    </w:p>
    <w:p w:rsidR="00BF2B94" w:rsidRDefault="00910232">
      <w:pPr>
        <w:widowControl w:val="0"/>
        <w:spacing w:after="100"/>
        <w:jc w:val="center"/>
        <w:rPr>
          <w:rFonts w:ascii="Times" w:eastAsia="Times" w:hAnsi="Times" w:cs="Times"/>
          <w:b/>
          <w:sz w:val="28"/>
          <w:szCs w:val="28"/>
        </w:rPr>
      </w:pPr>
      <w:r>
        <w:rPr>
          <w:rFonts w:ascii="Times" w:eastAsia="Times" w:hAnsi="Times" w:cs="Times"/>
          <w:b/>
          <w:sz w:val="28"/>
          <w:szCs w:val="28"/>
        </w:rPr>
        <w:t>APPELLANT’S MOTION FOR REHEARING, CLARIFICATION, WRITTEN DECISION AND CERTIFICATION UNDER FLORIDA RULES OF APPELLATE PROCEDURE 9.330</w:t>
      </w:r>
    </w:p>
    <w:p w:rsidR="00BF2B94" w:rsidRDefault="00BF2B94">
      <w:pPr>
        <w:widowControl w:val="0"/>
        <w:spacing w:after="100"/>
        <w:rPr>
          <w:rFonts w:ascii="Times" w:eastAsia="Times" w:hAnsi="Times" w:cs="Times"/>
          <w:b/>
          <w:sz w:val="28"/>
          <w:szCs w:val="28"/>
        </w:rPr>
      </w:pPr>
    </w:p>
    <w:p w:rsidR="00BF2B94" w:rsidRDefault="00910232">
      <w:pPr>
        <w:widowControl w:val="0"/>
        <w:spacing w:after="100" w:line="480" w:lineRule="auto"/>
        <w:rPr>
          <w:rFonts w:ascii="Times" w:eastAsia="Times" w:hAnsi="Times" w:cs="Times"/>
          <w:sz w:val="28"/>
          <w:szCs w:val="28"/>
        </w:rPr>
      </w:pPr>
      <w:r>
        <w:rPr>
          <w:rFonts w:ascii="Times" w:eastAsia="Times" w:hAnsi="Times" w:cs="Times"/>
          <w:sz w:val="28"/>
          <w:szCs w:val="28"/>
        </w:rPr>
        <w:t>COMES NOW Eliot Bernstein, Appellant Pro se, who respectfully pleads and prays before this Court as</w:t>
      </w:r>
      <w:r>
        <w:rPr>
          <w:rFonts w:ascii="Times" w:eastAsia="Times" w:hAnsi="Times" w:cs="Times"/>
          <w:sz w:val="28"/>
          <w:szCs w:val="28"/>
        </w:rPr>
        <w:t xml:space="preserve"> follows:</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bookmarkStart w:id="0" w:name="_GoBack"/>
      <w:bookmarkEnd w:id="0"/>
      <w:r>
        <w:rPr>
          <w:rFonts w:ascii="Times" w:eastAsia="Times" w:hAnsi="Times" w:cs="Times"/>
          <w:sz w:val="28"/>
          <w:szCs w:val="28"/>
        </w:rPr>
        <w:t xml:space="preserve">I am the Appellant pro se and file this motion for Rehearing, clarification, for a written decision and to certify this matter to the Florida Supreme Court.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Respectfully, this Court has overlooked or misapprehended material facts and misapplied</w:t>
      </w:r>
      <w:r>
        <w:rPr>
          <w:rFonts w:ascii="Times" w:eastAsia="Times" w:hAnsi="Times" w:cs="Times"/>
          <w:sz w:val="28"/>
          <w:szCs w:val="28"/>
        </w:rPr>
        <w:t xml:space="preserve"> the law to the case and the Per </w:t>
      </w:r>
      <w:proofErr w:type="spellStart"/>
      <w:r>
        <w:rPr>
          <w:rFonts w:ascii="Times" w:eastAsia="Times" w:hAnsi="Times" w:cs="Times"/>
          <w:sz w:val="28"/>
          <w:szCs w:val="28"/>
        </w:rPr>
        <w:t>Curiam</w:t>
      </w:r>
      <w:proofErr w:type="spellEnd"/>
      <w:r>
        <w:rPr>
          <w:rFonts w:ascii="Times" w:eastAsia="Times" w:hAnsi="Times" w:cs="Times"/>
          <w:sz w:val="28"/>
          <w:szCs w:val="28"/>
        </w:rPr>
        <w:t xml:space="preserve"> Affirmance must now be </w:t>
      </w:r>
      <w:proofErr w:type="gramStart"/>
      <w:r>
        <w:rPr>
          <w:rFonts w:ascii="Times" w:eastAsia="Times" w:hAnsi="Times" w:cs="Times"/>
          <w:sz w:val="28"/>
          <w:szCs w:val="28"/>
        </w:rPr>
        <w:t>reversed</w:t>
      </w:r>
      <w:proofErr w:type="gramEnd"/>
      <w:r>
        <w:rPr>
          <w:rFonts w:ascii="Times" w:eastAsia="Times" w:hAnsi="Times" w:cs="Times"/>
          <w:sz w:val="28"/>
          <w:szCs w:val="28"/>
        </w:rPr>
        <w:t xml:space="preserve"> and the Final Judgment vacated and remanded to the Lower Tribunal for further proceedings including a New Trial.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lastRenderedPageBreak/>
        <w:t>There are multiple key facts overlooked by this Court and rehearing mu</w:t>
      </w:r>
      <w:r>
        <w:rPr>
          <w:rFonts w:ascii="Times" w:eastAsia="Times" w:hAnsi="Times" w:cs="Times"/>
          <w:sz w:val="28"/>
          <w:szCs w:val="28"/>
        </w:rPr>
        <w:t xml:space="preserve">st be granted.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The mere fact that “missing Witness” Donald Tescher who was one lead Estate Planning Partner and drafter in both Shirley and Simon’s Estate and Trust cases and also was Co-Trustee and Co-</w:t>
      </w:r>
      <w:proofErr w:type="spellStart"/>
      <w:r>
        <w:rPr>
          <w:rFonts w:ascii="Times" w:eastAsia="Times" w:hAnsi="Times" w:cs="Times"/>
          <w:sz w:val="28"/>
          <w:szCs w:val="28"/>
        </w:rPr>
        <w:t>Pr</w:t>
      </w:r>
      <w:proofErr w:type="spellEnd"/>
      <w:r>
        <w:rPr>
          <w:rFonts w:ascii="Times" w:eastAsia="Times" w:hAnsi="Times" w:cs="Times"/>
          <w:sz w:val="28"/>
          <w:szCs w:val="28"/>
        </w:rPr>
        <w:t xml:space="preserve"> of the Estate and Trust of Simon until removed aft</w:t>
      </w:r>
      <w:r>
        <w:rPr>
          <w:rFonts w:ascii="Times" w:eastAsia="Times" w:hAnsi="Times" w:cs="Times"/>
          <w:sz w:val="28"/>
          <w:szCs w:val="28"/>
        </w:rPr>
        <w:t>er admissions of fraud and forgery by their law firm was not available, never had a proper pre-trial Deposition but who further authored a resignation Letter claiming the Shirley Trust was not what was presented during the Trial by Appellees made Tescher a</w:t>
      </w:r>
      <w:r>
        <w:rPr>
          <w:rFonts w:ascii="Times" w:eastAsia="Times" w:hAnsi="Times" w:cs="Times"/>
          <w:sz w:val="28"/>
          <w:szCs w:val="28"/>
        </w:rPr>
        <w:t xml:space="preserve">n indispensable Witness and the fact that the pre-determined artificial “limit” to a one day Trial did not provide adequate time for this Witness to be called necessitates a New trial. See, Jan. 2014 Tescher Spallina Resignation Letter, </w:t>
      </w:r>
      <w:proofErr w:type="spellStart"/>
      <w:r>
        <w:rPr>
          <w:rFonts w:ascii="Times" w:eastAsia="Times" w:hAnsi="Times" w:cs="Times"/>
          <w:sz w:val="28"/>
          <w:szCs w:val="28"/>
        </w:rPr>
        <w:t>ROA</w:t>
      </w:r>
      <w:proofErr w:type="spellEnd"/>
      <w:r>
        <w:rPr>
          <w:rFonts w:ascii="Times" w:eastAsia="Times" w:hAnsi="Times" w:cs="Times"/>
          <w:sz w:val="28"/>
          <w:szCs w:val="28"/>
        </w:rPr>
        <w:t xml:space="preserve"> ___.  ( </w:t>
      </w:r>
      <w:r>
        <w:rPr>
          <w:rFonts w:ascii="Times" w:eastAsia="Times" w:hAnsi="Times" w:cs="Times"/>
          <w:b/>
          <w:sz w:val="28"/>
          <w:szCs w:val="28"/>
        </w:rPr>
        <w:t>Note: L</w:t>
      </w:r>
      <w:r>
        <w:rPr>
          <w:rFonts w:ascii="Times" w:eastAsia="Times" w:hAnsi="Times" w:cs="Times"/>
          <w:b/>
          <w:sz w:val="28"/>
          <w:szCs w:val="28"/>
        </w:rPr>
        <w:t>ower Tribunal Judge Scher has now issued an Order of April 27, 2017  showing Appellant as a “Beneficiary” in the Simon Bernstein Estate making the entire Validity Trial proceedings subject to being vacated under fraud and misconduct standards as well due t</w:t>
      </w:r>
      <w:r>
        <w:rPr>
          <w:rFonts w:ascii="Times" w:eastAsia="Times" w:hAnsi="Times" w:cs="Times"/>
          <w:b/>
          <w:sz w:val="28"/>
          <w:szCs w:val="28"/>
        </w:rPr>
        <w:t xml:space="preserve">o Appellee and Attorney Alan Rose conduct before Judge Phillips in the proceedings Scheduling the Validity Trial).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Courts should not countenance or tolerate actions during litigation that are not</w:t>
      </w:r>
      <w:r>
        <w:rPr>
          <w:rFonts w:ascii="Times" w:eastAsia="Times" w:hAnsi="Times" w:cs="Times"/>
          <w:sz w:val="28"/>
          <w:szCs w:val="28"/>
        </w:rPr>
        <w:br/>
        <w:t>forthright and that are designed to delay and obfuscate the</w:t>
      </w:r>
      <w:r>
        <w:rPr>
          <w:rFonts w:ascii="Times" w:eastAsia="Times" w:hAnsi="Times" w:cs="Times"/>
          <w:sz w:val="28"/>
          <w:szCs w:val="28"/>
        </w:rPr>
        <w:t xml:space="preserve"> discovery process. See</w:t>
      </w:r>
      <w:proofErr w:type="gramStart"/>
      <w:r>
        <w:rPr>
          <w:rFonts w:ascii="Times" w:eastAsia="Times" w:hAnsi="Times" w:cs="Times"/>
          <w:sz w:val="28"/>
          <w:szCs w:val="28"/>
        </w:rPr>
        <w:t>,</w:t>
      </w:r>
      <w:proofErr w:type="gramEnd"/>
      <w:r>
        <w:rPr>
          <w:rFonts w:ascii="Times" w:eastAsia="Times" w:hAnsi="Times" w:cs="Times"/>
          <w:sz w:val="28"/>
          <w:szCs w:val="28"/>
        </w:rPr>
        <w:br/>
      </w:r>
      <w:proofErr w:type="spellStart"/>
      <w:r>
        <w:rPr>
          <w:rFonts w:ascii="Times" w:eastAsia="Times" w:hAnsi="Times" w:cs="Times"/>
          <w:sz w:val="28"/>
          <w:szCs w:val="28"/>
        </w:rPr>
        <w:t>Bainter</w:t>
      </w:r>
      <w:proofErr w:type="spellEnd"/>
      <w:r>
        <w:rPr>
          <w:rFonts w:ascii="Times" w:eastAsia="Times" w:hAnsi="Times" w:cs="Times"/>
          <w:sz w:val="28"/>
          <w:szCs w:val="28"/>
        </w:rPr>
        <w:t xml:space="preserve"> v. League of Women Voters of Fla., 150 So. 3d 1115, 1129 (Fla. 2014).</w:t>
      </w:r>
      <w:r>
        <w:rPr>
          <w:rFonts w:ascii="Times" w:eastAsia="Times" w:hAnsi="Times" w:cs="Times"/>
          <w:sz w:val="28"/>
          <w:szCs w:val="28"/>
        </w:rPr>
        <w:br/>
      </w:r>
      <w:r>
        <w:rPr>
          <w:rFonts w:ascii="Times" w:eastAsia="Times" w:hAnsi="Times" w:cs="Times"/>
          <w:sz w:val="28"/>
          <w:szCs w:val="28"/>
        </w:rPr>
        <w:lastRenderedPageBreak/>
        <w:t>An orderly trial is most likely to occur when the judge enforces discovery and</w:t>
      </w:r>
      <w:r>
        <w:rPr>
          <w:rFonts w:ascii="Times" w:eastAsia="Times" w:hAnsi="Times" w:cs="Times"/>
          <w:sz w:val="28"/>
          <w:szCs w:val="28"/>
        </w:rPr>
        <w:br/>
        <w:t>pretrial orders strictly and requires each party to make full and proper d</w:t>
      </w:r>
      <w:r>
        <w:rPr>
          <w:rFonts w:ascii="Times" w:eastAsia="Times" w:hAnsi="Times" w:cs="Times"/>
          <w:sz w:val="28"/>
          <w:szCs w:val="28"/>
        </w:rPr>
        <w:t>isclosure</w:t>
      </w:r>
      <w:r>
        <w:rPr>
          <w:rFonts w:ascii="Times" w:eastAsia="Times" w:hAnsi="Times" w:cs="Times"/>
          <w:sz w:val="28"/>
          <w:szCs w:val="28"/>
        </w:rPr>
        <w:br/>
        <w:t xml:space="preserve">before trial. </w:t>
      </w:r>
      <w:r>
        <w:rPr>
          <w:rFonts w:ascii="Times" w:eastAsia="Times" w:hAnsi="Times" w:cs="Times"/>
          <w:b/>
          <w:sz w:val="28"/>
          <w:szCs w:val="28"/>
        </w:rPr>
        <w:t xml:space="preserve">The Record on Appeal in this case shows repeated denial of Discovery to Appellant spanning years.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The Fourth District Court of Appeal in Central Square Tarragon LLC v. Great</w:t>
      </w:r>
      <w:r>
        <w:rPr>
          <w:rFonts w:ascii="Times" w:eastAsia="Times" w:hAnsi="Times" w:cs="Times"/>
          <w:sz w:val="28"/>
          <w:szCs w:val="28"/>
        </w:rPr>
        <w:br/>
        <w:t>Divide Insurance Company, reiterated the need to “strictl</w:t>
      </w:r>
      <w:r>
        <w:rPr>
          <w:rFonts w:ascii="Times" w:eastAsia="Times" w:hAnsi="Times" w:cs="Times"/>
          <w:sz w:val="28"/>
          <w:szCs w:val="28"/>
        </w:rPr>
        <w:t>y enforce” provisions of</w:t>
      </w:r>
      <w:r>
        <w:rPr>
          <w:rFonts w:ascii="Times" w:eastAsia="Times" w:hAnsi="Times" w:cs="Times"/>
          <w:sz w:val="28"/>
          <w:szCs w:val="28"/>
        </w:rPr>
        <w:br/>
        <w:t xml:space="preserve">pretrial stipulations. This prevents last minute gamesmanship, and makes </w:t>
      </w:r>
      <w:r>
        <w:rPr>
          <w:rFonts w:ascii="Times" w:eastAsia="Times" w:hAnsi="Times" w:cs="Times"/>
          <w:sz w:val="28"/>
          <w:szCs w:val="28"/>
        </w:rPr>
        <w:br/>
        <w:t>disruption of the trial and error on appeal less likely. Generally, last-minute</w:t>
      </w:r>
      <w:r>
        <w:rPr>
          <w:rFonts w:ascii="Times" w:eastAsia="Times" w:hAnsi="Times" w:cs="Times"/>
          <w:sz w:val="28"/>
          <w:szCs w:val="28"/>
        </w:rPr>
        <w:br/>
        <w:t>additions of witnesses and substantial changes to testimony should not be</w:t>
      </w:r>
      <w:r>
        <w:rPr>
          <w:rFonts w:ascii="Times" w:eastAsia="Times" w:hAnsi="Times" w:cs="Times"/>
          <w:sz w:val="28"/>
          <w:szCs w:val="28"/>
        </w:rPr>
        <w:br/>
        <w:t>adm</w:t>
      </w:r>
      <w:r>
        <w:rPr>
          <w:rFonts w:ascii="Times" w:eastAsia="Times" w:hAnsi="Times" w:cs="Times"/>
          <w:sz w:val="28"/>
          <w:szCs w:val="28"/>
        </w:rPr>
        <w:t>issible at trial. Failure to exclude such testimony prejudices the opposing party</w:t>
      </w:r>
      <w:r>
        <w:rPr>
          <w:rFonts w:ascii="Times" w:eastAsia="Times" w:hAnsi="Times" w:cs="Times"/>
          <w:sz w:val="28"/>
          <w:szCs w:val="28"/>
        </w:rPr>
        <w:br/>
        <w:t>and constitutes reversible error.</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In this case, there was no Orderly pre-trial procedures which were abandoned in</w:t>
      </w:r>
      <w:r>
        <w:rPr>
          <w:rFonts w:ascii="Times" w:eastAsia="Times" w:hAnsi="Times" w:cs="Times"/>
          <w:sz w:val="28"/>
          <w:szCs w:val="28"/>
        </w:rPr>
        <w:br/>
        <w:t xml:space="preserve">their entirety by the lower tribunal who Ordered a Trial in </w:t>
      </w:r>
      <w:r>
        <w:rPr>
          <w:rFonts w:ascii="Times" w:eastAsia="Times" w:hAnsi="Times" w:cs="Times"/>
          <w:sz w:val="28"/>
          <w:szCs w:val="28"/>
        </w:rPr>
        <w:t>a case not even Noticed</w:t>
      </w:r>
      <w:r>
        <w:rPr>
          <w:rFonts w:ascii="Times" w:eastAsia="Times" w:hAnsi="Times" w:cs="Times"/>
          <w:sz w:val="28"/>
          <w:szCs w:val="28"/>
        </w:rPr>
        <w:br/>
        <w:t xml:space="preserve">for Case Management.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There was no inspection of evidence pre-trial despite last minute “originals” offered by Alan Rose See (ROA2 Pages #001560 - #001577 -Motion for Continuance and Stay.)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With fraud shown in dispositive documents</w:t>
      </w:r>
      <w:r>
        <w:rPr>
          <w:rFonts w:ascii="Times" w:eastAsia="Times" w:hAnsi="Times" w:cs="Times"/>
          <w:sz w:val="28"/>
          <w:szCs w:val="28"/>
        </w:rPr>
        <w:t xml:space="preserve"> by fiduciaries and no Originals being made available the Court abused its discretion in formulating improper pre-trial truth seeking procedures, failing to determine outstanding discovery and records </w:t>
      </w:r>
      <w:r>
        <w:rPr>
          <w:rFonts w:ascii="Times" w:eastAsia="Times" w:hAnsi="Times" w:cs="Times"/>
          <w:sz w:val="28"/>
          <w:szCs w:val="28"/>
        </w:rPr>
        <w:lastRenderedPageBreak/>
        <w:t>and the need for Experts and pre-trial Depositions.</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Appellees never produced several of the Trusts expressly named in the Shirley Trust such as the Family Trust, Marital Trust and Eliot Family Trust which have never been produced to this day. Clearly these documents were relevant to determine the overall Es</w:t>
      </w:r>
      <w:r>
        <w:rPr>
          <w:rFonts w:ascii="Times" w:eastAsia="Times" w:hAnsi="Times" w:cs="Times"/>
          <w:sz w:val="28"/>
          <w:szCs w:val="28"/>
        </w:rPr>
        <w:t xml:space="preserve">tate planning scheme and validity of the main document itself.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There are alleged </w:t>
      </w:r>
      <w:proofErr w:type="spellStart"/>
      <w:r>
        <w:rPr>
          <w:rFonts w:ascii="Times" w:eastAsia="Times" w:hAnsi="Times" w:cs="Times"/>
          <w:sz w:val="28"/>
          <w:szCs w:val="28"/>
        </w:rPr>
        <w:t>subtrusts</w:t>
      </w:r>
      <w:proofErr w:type="spellEnd"/>
      <w:r>
        <w:rPr>
          <w:rFonts w:ascii="Times" w:eastAsia="Times" w:hAnsi="Times" w:cs="Times"/>
          <w:sz w:val="28"/>
          <w:szCs w:val="28"/>
        </w:rPr>
        <w:t xml:space="preserve"> that are alleged beneficiaries of the Simon Bernstein Trust dated 9/13/2012 for 10 grandchildren that neither the Simon Bernstein Trust dated 9/13/2012 has never be</w:t>
      </w:r>
      <w:r>
        <w:rPr>
          <w:rFonts w:ascii="Times" w:eastAsia="Times" w:hAnsi="Times" w:cs="Times"/>
          <w:sz w:val="28"/>
          <w:szCs w:val="28"/>
        </w:rPr>
        <w:t xml:space="preserve">en produced nor were produced at the Validity Hearing, nor any </w:t>
      </w:r>
      <w:proofErr w:type="spellStart"/>
      <w:r>
        <w:rPr>
          <w:rFonts w:ascii="Times" w:eastAsia="Times" w:hAnsi="Times" w:cs="Times"/>
          <w:sz w:val="28"/>
          <w:szCs w:val="28"/>
        </w:rPr>
        <w:t>subtrusts</w:t>
      </w:r>
      <w:proofErr w:type="spellEnd"/>
      <w:r>
        <w:rPr>
          <w:rFonts w:ascii="Times" w:eastAsia="Times" w:hAnsi="Times" w:cs="Times"/>
          <w:sz w:val="28"/>
          <w:szCs w:val="28"/>
        </w:rPr>
        <w:t xml:space="preserve"> for the alleged beneficiaries. Thus, more “missing documents” and “missing evidence”, “missing Discovery” which was clearly relevant at Trial and a new Trial must be ordered. ( Note: </w:t>
      </w:r>
      <w:r>
        <w:rPr>
          <w:rFonts w:ascii="Times" w:eastAsia="Times" w:hAnsi="Times" w:cs="Times"/>
          <w:sz w:val="28"/>
          <w:szCs w:val="28"/>
        </w:rPr>
        <w:t xml:space="preserve">Appellee’s Attorney Alan Rose has now filed recent documents in the Lower Tribunal claiming the Trusts were of a DIFFERENT DATE, 7/25/12, NOT 9/13/12 but have not disclosed either set ).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That Eliot Bernstein was sued as the Trustee of the Simon Bernstein </w:t>
      </w:r>
      <w:r>
        <w:rPr>
          <w:rFonts w:ascii="Times" w:eastAsia="Times" w:hAnsi="Times" w:cs="Times"/>
          <w:sz w:val="28"/>
          <w:szCs w:val="28"/>
        </w:rPr>
        <w:t xml:space="preserve">Trust dated 9/13/2012 as Trustee of trusts for his children in the Shirley Bernstein Trust action before this Court and to date this Simon Bernstein Trust and the children’s </w:t>
      </w:r>
      <w:proofErr w:type="spellStart"/>
      <w:r>
        <w:rPr>
          <w:rFonts w:ascii="Times" w:eastAsia="Times" w:hAnsi="Times" w:cs="Times"/>
          <w:sz w:val="28"/>
          <w:szCs w:val="28"/>
        </w:rPr>
        <w:t>subtrusts</w:t>
      </w:r>
      <w:proofErr w:type="spellEnd"/>
      <w:r>
        <w:rPr>
          <w:rFonts w:ascii="Times" w:eastAsia="Times" w:hAnsi="Times" w:cs="Times"/>
          <w:sz w:val="28"/>
          <w:szCs w:val="28"/>
        </w:rPr>
        <w:t xml:space="preserve"> that are alleged beneficiaries of the Shirley Bernstein IRREVOCABLE Trus</w:t>
      </w:r>
      <w:r>
        <w:rPr>
          <w:rFonts w:ascii="Times" w:eastAsia="Times" w:hAnsi="Times" w:cs="Times"/>
          <w:sz w:val="28"/>
          <w:szCs w:val="28"/>
        </w:rPr>
        <w:t xml:space="preserve">t were never produced to the Lower Court at the Validity Trial and to date </w:t>
      </w:r>
      <w:r>
        <w:rPr>
          <w:rFonts w:ascii="Times" w:eastAsia="Times" w:hAnsi="Times" w:cs="Times"/>
          <w:sz w:val="28"/>
          <w:szCs w:val="28"/>
        </w:rPr>
        <w:lastRenderedPageBreak/>
        <w:t>have never been produced.</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Lacking the Simon Bernstein Trust dated 9/13/2012 that Eliot Bernstein and his children were sued under the Lower Court and this Court lack jurisdiction ov</w:t>
      </w:r>
      <w:r>
        <w:rPr>
          <w:rFonts w:ascii="Times" w:eastAsia="Times" w:hAnsi="Times" w:cs="Times"/>
          <w:sz w:val="28"/>
          <w:szCs w:val="28"/>
        </w:rPr>
        <w:t>er the parties sued in this matter.</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The true and proper beneficiaries of the Shirley Bernstein Trust were not sued in the action, namely, Eliot Bernstein, Lisa Friedstein and Jill Iantoni as so defined in the alleged “Valid” trust on record with the Court.</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Appellant’s May 2013 Emergency Motion was sufficient to be deemed a Petition</w:t>
      </w:r>
      <w:r>
        <w:rPr>
          <w:rFonts w:ascii="Times" w:eastAsia="Times" w:hAnsi="Times" w:cs="Times"/>
          <w:sz w:val="28"/>
          <w:szCs w:val="28"/>
        </w:rPr>
        <w:br/>
        <w:t>to revoke probate Admin in both the Shirley and Simon Estate cases. The vast</w:t>
      </w:r>
      <w:r>
        <w:rPr>
          <w:rFonts w:ascii="Times" w:eastAsia="Times" w:hAnsi="Times" w:cs="Times"/>
          <w:sz w:val="28"/>
          <w:szCs w:val="28"/>
        </w:rPr>
        <w:br/>
        <w:t>majority of the motion having never been addressed by the lower tribunals was not</w:t>
      </w:r>
      <w:r>
        <w:rPr>
          <w:rFonts w:ascii="Times" w:eastAsia="Times" w:hAnsi="Times" w:cs="Times"/>
          <w:sz w:val="28"/>
          <w:szCs w:val="28"/>
        </w:rPr>
        <w:br/>
        <w:t>only an abuse of Di</w:t>
      </w:r>
      <w:r>
        <w:rPr>
          <w:rFonts w:ascii="Times" w:eastAsia="Times" w:hAnsi="Times" w:cs="Times"/>
          <w:sz w:val="28"/>
          <w:szCs w:val="28"/>
        </w:rPr>
        <w:t>scretion but also in violation of the State Court fraud policy</w:t>
      </w:r>
      <w:r>
        <w:rPr>
          <w:rFonts w:ascii="Times" w:eastAsia="Times" w:hAnsi="Times" w:cs="Times"/>
          <w:sz w:val="28"/>
          <w:szCs w:val="28"/>
        </w:rPr>
        <w:br/>
        <w:t>rendering the Judgement void and should be vacated and reversed. See (ROA1</w:t>
      </w:r>
      <w:r>
        <w:rPr>
          <w:rFonts w:ascii="Times" w:eastAsia="Times" w:hAnsi="Times" w:cs="Times"/>
          <w:sz w:val="28"/>
          <w:szCs w:val="28"/>
        </w:rPr>
        <w:br/>
        <w:t xml:space="preserve">Pages 000560 - # - </w:t>
      </w:r>
      <w:proofErr w:type="gramStart"/>
      <w:r>
        <w:rPr>
          <w:rFonts w:ascii="Times" w:eastAsia="Times" w:hAnsi="Times" w:cs="Times"/>
          <w:sz w:val="28"/>
          <w:szCs w:val="28"/>
        </w:rPr>
        <w:t>#001040 Emergency Motion</w:t>
      </w:r>
      <w:proofErr w:type="gramEnd"/>
      <w:r>
        <w:rPr>
          <w:rFonts w:ascii="Times" w:eastAsia="Times" w:hAnsi="Times" w:cs="Times"/>
          <w:sz w:val="28"/>
          <w:szCs w:val="28"/>
        </w:rPr>
        <w:t xml:space="preserve"> and Statewide Court Fraud Policy</w:t>
      </w:r>
      <w:r>
        <w:rPr>
          <w:rFonts w:ascii="Times" w:eastAsia="Times" w:hAnsi="Times" w:cs="Times"/>
          <w:sz w:val="28"/>
          <w:szCs w:val="28"/>
        </w:rPr>
        <w:br/>
        <w:t>already exhibited herein.)</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As this Court </w:t>
      </w:r>
      <w:r>
        <w:rPr>
          <w:rFonts w:ascii="Times" w:eastAsia="Times" w:hAnsi="Times" w:cs="Times"/>
          <w:sz w:val="28"/>
          <w:szCs w:val="28"/>
        </w:rPr>
        <w:t>has already made clear, “While the complaint at issue is not a model</w:t>
      </w:r>
      <w:r>
        <w:rPr>
          <w:rFonts w:ascii="Times" w:eastAsia="Times" w:hAnsi="Times" w:cs="Times"/>
          <w:sz w:val="28"/>
          <w:szCs w:val="28"/>
        </w:rPr>
        <w:br/>
        <w:t>of clarity, we find that it adequately constituted a will contest. “A petition for</w:t>
      </w:r>
      <w:r>
        <w:rPr>
          <w:rFonts w:ascii="Times" w:eastAsia="Times" w:hAnsi="Times" w:cs="Times"/>
          <w:sz w:val="28"/>
          <w:szCs w:val="28"/>
        </w:rPr>
        <w:br/>
        <w:t>revocation of probate shall state the interest of the petitioner in the estate and the</w:t>
      </w:r>
      <w:r>
        <w:rPr>
          <w:rFonts w:ascii="Times" w:eastAsia="Times" w:hAnsi="Times" w:cs="Times"/>
          <w:sz w:val="28"/>
          <w:szCs w:val="28"/>
        </w:rPr>
        <w:br/>
        <w:t>facts constitutin</w:t>
      </w:r>
      <w:r>
        <w:rPr>
          <w:rFonts w:ascii="Times" w:eastAsia="Times" w:hAnsi="Times" w:cs="Times"/>
          <w:sz w:val="28"/>
          <w:szCs w:val="28"/>
        </w:rPr>
        <w:t>g the grounds on which revocation is demanded.” Fla. Prob. R</w:t>
      </w:r>
      <w:proofErr w:type="gramStart"/>
      <w:r>
        <w:rPr>
          <w:rFonts w:ascii="Times" w:eastAsia="Times" w:hAnsi="Times" w:cs="Times"/>
          <w:sz w:val="28"/>
          <w:szCs w:val="28"/>
        </w:rPr>
        <w:t>.</w:t>
      </w:r>
      <w:proofErr w:type="gramEnd"/>
      <w:r>
        <w:rPr>
          <w:rFonts w:ascii="Times" w:eastAsia="Times" w:hAnsi="Times" w:cs="Times"/>
          <w:sz w:val="28"/>
          <w:szCs w:val="28"/>
        </w:rPr>
        <w:br/>
        <w:t>5.270(a). “All technical forms of pleadings are abolished” and “[n]o defect of</w:t>
      </w:r>
      <w:r>
        <w:rPr>
          <w:rFonts w:ascii="Times" w:eastAsia="Times" w:hAnsi="Times" w:cs="Times"/>
          <w:sz w:val="28"/>
          <w:szCs w:val="28"/>
        </w:rPr>
        <w:br/>
        <w:t>forms impairs substantial rights.” Fla. Prob. R. 5.020(a). Though the complaint</w:t>
      </w:r>
      <w:r>
        <w:rPr>
          <w:rFonts w:ascii="Times" w:eastAsia="Times" w:hAnsi="Times" w:cs="Times"/>
          <w:sz w:val="28"/>
          <w:szCs w:val="28"/>
        </w:rPr>
        <w:br/>
      </w:r>
      <w:r>
        <w:rPr>
          <w:rFonts w:ascii="Times" w:eastAsia="Times" w:hAnsi="Times" w:cs="Times"/>
          <w:sz w:val="28"/>
          <w:szCs w:val="28"/>
        </w:rPr>
        <w:lastRenderedPageBreak/>
        <w:t xml:space="preserve">does not specifically identify the </w:t>
      </w:r>
      <w:r>
        <w:rPr>
          <w:rFonts w:ascii="Times" w:eastAsia="Times" w:hAnsi="Times" w:cs="Times"/>
          <w:sz w:val="28"/>
          <w:szCs w:val="28"/>
        </w:rPr>
        <w:t>2005 will, count I challenges the validity of all</w:t>
      </w:r>
      <w:r>
        <w:rPr>
          <w:rFonts w:ascii="Times" w:eastAsia="Times" w:hAnsi="Times" w:cs="Times"/>
          <w:sz w:val="28"/>
          <w:szCs w:val="28"/>
        </w:rPr>
        <w:br/>
        <w:t>testamentary documents executed after 2000[, thus by implication challenging the</w:t>
      </w:r>
      <w:r>
        <w:rPr>
          <w:rFonts w:ascii="Times" w:eastAsia="Times" w:hAnsi="Times" w:cs="Times"/>
          <w:sz w:val="28"/>
          <w:szCs w:val="28"/>
        </w:rPr>
        <w:br/>
        <w:t>2005 will] . . . Additionally, the complaint was filed in response to the notice of</w:t>
      </w:r>
      <w:r>
        <w:rPr>
          <w:rFonts w:ascii="Times" w:eastAsia="Times" w:hAnsi="Times" w:cs="Times"/>
          <w:sz w:val="28"/>
          <w:szCs w:val="28"/>
        </w:rPr>
        <w:br/>
        <w:t xml:space="preserve">administration of the 2005 will, wherein </w:t>
      </w:r>
      <w:r>
        <w:rPr>
          <w:rFonts w:ascii="Times" w:eastAsia="Times" w:hAnsi="Times" w:cs="Times"/>
          <w:sz w:val="28"/>
          <w:szCs w:val="28"/>
        </w:rPr>
        <w:t>the decedent completely revoked the</w:t>
      </w:r>
      <w:r>
        <w:rPr>
          <w:rFonts w:ascii="Times" w:eastAsia="Times" w:hAnsi="Times" w:cs="Times"/>
          <w:sz w:val="28"/>
          <w:szCs w:val="28"/>
        </w:rPr>
        <w:br/>
      </w:r>
      <w:proofErr w:type="spellStart"/>
      <w:r>
        <w:rPr>
          <w:rFonts w:ascii="Times" w:eastAsia="Times" w:hAnsi="Times" w:cs="Times"/>
          <w:sz w:val="28"/>
          <w:szCs w:val="28"/>
        </w:rPr>
        <w:t>Pasquales</w:t>
      </w:r>
      <w:proofErr w:type="spellEnd"/>
      <w:r>
        <w:rPr>
          <w:rFonts w:ascii="Times" w:eastAsia="Times" w:hAnsi="Times" w:cs="Times"/>
          <w:sz w:val="28"/>
          <w:szCs w:val="28"/>
        </w:rPr>
        <w:t xml:space="preserve">’ interest in the </w:t>
      </w:r>
      <w:proofErr w:type="spellStart"/>
      <w:r>
        <w:rPr>
          <w:rFonts w:ascii="Times" w:eastAsia="Times" w:hAnsi="Times" w:cs="Times"/>
          <w:sz w:val="28"/>
          <w:szCs w:val="28"/>
        </w:rPr>
        <w:t>trust.Compare</w:t>
      </w:r>
      <w:proofErr w:type="spellEnd"/>
      <w:r>
        <w:rPr>
          <w:rFonts w:ascii="Times" w:eastAsia="Times" w:hAnsi="Times" w:cs="Times"/>
          <w:sz w:val="28"/>
          <w:szCs w:val="28"/>
        </w:rPr>
        <w:t xml:space="preserve"> Feather v. Sanko’s Estate, 390 So.2d 746,</w:t>
      </w:r>
      <w:r>
        <w:rPr>
          <w:rFonts w:ascii="Times" w:eastAsia="Times" w:hAnsi="Times" w:cs="Times"/>
          <w:sz w:val="28"/>
          <w:szCs w:val="28"/>
        </w:rPr>
        <w:br/>
        <w:t>747 (Fla. 5th DCA 1980) (interpreting older version of probate code, finding that</w:t>
      </w:r>
      <w:r>
        <w:rPr>
          <w:rFonts w:ascii="Times" w:eastAsia="Times" w:hAnsi="Times" w:cs="Times"/>
          <w:sz w:val="28"/>
          <w:szCs w:val="28"/>
        </w:rPr>
        <w:br/>
        <w:t>pleading filed by decedent’s disinherited child, entitl</w:t>
      </w:r>
      <w:r>
        <w:rPr>
          <w:rFonts w:ascii="Times" w:eastAsia="Times" w:hAnsi="Times" w:cs="Times"/>
          <w:sz w:val="28"/>
          <w:szCs w:val="28"/>
        </w:rPr>
        <w:t>ed “Notice of Appearance,”</w:t>
      </w:r>
      <w:r>
        <w:rPr>
          <w:rFonts w:ascii="Times" w:eastAsia="Times" w:hAnsi="Times" w:cs="Times"/>
          <w:sz w:val="28"/>
          <w:szCs w:val="28"/>
        </w:rPr>
        <w:br/>
        <w:t>was sufficient to contest will where pleading stated that she had interest in estate,</w:t>
      </w:r>
      <w:r>
        <w:rPr>
          <w:rFonts w:ascii="Times" w:eastAsia="Times" w:hAnsi="Times" w:cs="Times"/>
          <w:sz w:val="28"/>
          <w:szCs w:val="28"/>
        </w:rPr>
        <w:br/>
        <w:t>and the will at issue disinherited her, making it clear that she opposed it)”. . . .See,</w:t>
      </w:r>
      <w:r>
        <w:rPr>
          <w:rFonts w:ascii="Times" w:eastAsia="Times" w:hAnsi="Times" w:cs="Times"/>
          <w:sz w:val="28"/>
          <w:szCs w:val="28"/>
        </w:rPr>
        <w:br/>
        <w:t>Pasquale v. Loving (Fla. 4th DCA March 21, 2012)</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Non-E</w:t>
      </w:r>
      <w:r>
        <w:rPr>
          <w:rFonts w:ascii="Times" w:eastAsia="Times" w:hAnsi="Times" w:cs="Times"/>
          <w:sz w:val="28"/>
          <w:szCs w:val="28"/>
        </w:rPr>
        <w:t xml:space="preserve">xistent Entities were Sued such as Trusts allegedly created Sept. 13, 2012 on the date Simon Bernstein passed away, trusts which have never to this day been disclosed or produced.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There were Missing Indispensable Parties such as Minor children Beneficiari</w:t>
      </w:r>
      <w:r>
        <w:rPr>
          <w:rFonts w:ascii="Times" w:eastAsia="Times" w:hAnsi="Times" w:cs="Times"/>
          <w:sz w:val="28"/>
          <w:szCs w:val="28"/>
        </w:rPr>
        <w:t xml:space="preserve">es which violated procedural and substantive due process and improper Notice making the Trial a “surprise” to such an extent the Judgement must be reversed entirely.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Ted Bernstein sued entities which do not exist, have never existed and thus</w:t>
      </w:r>
      <w:r>
        <w:rPr>
          <w:rFonts w:ascii="Times" w:eastAsia="Times" w:hAnsi="Times" w:cs="Times"/>
          <w:sz w:val="28"/>
          <w:szCs w:val="28"/>
        </w:rPr>
        <w:br/>
        <w:t>lacked the ca</w:t>
      </w:r>
      <w:r>
        <w:rPr>
          <w:rFonts w:ascii="Times" w:eastAsia="Times" w:hAnsi="Times" w:cs="Times"/>
          <w:sz w:val="28"/>
          <w:szCs w:val="28"/>
        </w:rPr>
        <w:t>pacity to be sued such as suing Eliot as Trustee of Trusts dated</w:t>
      </w:r>
      <w:r>
        <w:rPr>
          <w:rFonts w:ascii="Times" w:eastAsia="Times" w:hAnsi="Times" w:cs="Times"/>
          <w:sz w:val="28"/>
          <w:szCs w:val="28"/>
        </w:rPr>
        <w:br/>
        <w:t>9/13/12 which never existed and were never turned over and never shown to</w:t>
      </w:r>
      <w:r>
        <w:rPr>
          <w:rFonts w:ascii="Times" w:eastAsia="Times" w:hAnsi="Times" w:cs="Times"/>
          <w:sz w:val="28"/>
          <w:szCs w:val="28"/>
        </w:rPr>
        <w:br/>
      </w:r>
      <w:r>
        <w:rPr>
          <w:rFonts w:ascii="Times" w:eastAsia="Times" w:hAnsi="Times" w:cs="Times"/>
          <w:sz w:val="28"/>
          <w:szCs w:val="28"/>
        </w:rPr>
        <w:lastRenderedPageBreak/>
        <w:t>Appellant.</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Ted Bernstein also failed to sue indispensable parties such as Appellant’s minor and adult children and th</w:t>
      </w:r>
      <w:r>
        <w:rPr>
          <w:rFonts w:ascii="Times" w:eastAsia="Times" w:hAnsi="Times" w:cs="Times"/>
          <w:sz w:val="28"/>
          <w:szCs w:val="28"/>
        </w:rPr>
        <w:t>e Court further abused its discretion in denying counsel for such Parties.</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Generally, beneficiaries are necessary parties to a suit by or against a trustee</w:t>
      </w:r>
      <w:r>
        <w:rPr>
          <w:rFonts w:ascii="Times" w:eastAsia="Times" w:hAnsi="Times" w:cs="Times"/>
          <w:sz w:val="28"/>
          <w:szCs w:val="28"/>
        </w:rPr>
        <w:br/>
        <w:t>relating to the trust or its property. In those cases where the issue is whether or not</w:t>
      </w:r>
      <w:r>
        <w:rPr>
          <w:rFonts w:ascii="Times" w:eastAsia="Times" w:hAnsi="Times" w:cs="Times"/>
          <w:sz w:val="28"/>
          <w:szCs w:val="28"/>
        </w:rPr>
        <w:br/>
        <w:t>the trust in</w:t>
      </w:r>
      <w:r>
        <w:rPr>
          <w:rFonts w:ascii="Times" w:eastAsia="Times" w:hAnsi="Times" w:cs="Times"/>
          <w:sz w:val="28"/>
          <w:szCs w:val="28"/>
        </w:rPr>
        <w:t>strument is valid, the law is clear in Florida that the beneficiaries are</w:t>
      </w:r>
      <w:r>
        <w:rPr>
          <w:rFonts w:ascii="Times" w:eastAsia="Times" w:hAnsi="Times" w:cs="Times"/>
          <w:sz w:val="28"/>
          <w:szCs w:val="28"/>
        </w:rPr>
        <w:br/>
        <w:t>proper and necessary parties but here, the Minor children were not only not properly named but had no Representation at Trial and the Trial court abused its discretion in denying a C</w:t>
      </w:r>
      <w:r>
        <w:rPr>
          <w:rFonts w:ascii="Times" w:eastAsia="Times" w:hAnsi="Times" w:cs="Times"/>
          <w:sz w:val="28"/>
          <w:szCs w:val="28"/>
        </w:rPr>
        <w:t xml:space="preserve">ontinuance for attorney Schwager to be admitted pro </w:t>
      </w:r>
      <w:proofErr w:type="spellStart"/>
      <w:r>
        <w:rPr>
          <w:rFonts w:ascii="Times" w:eastAsia="Times" w:hAnsi="Times" w:cs="Times"/>
          <w:sz w:val="28"/>
          <w:szCs w:val="28"/>
        </w:rPr>
        <w:t>hac</w:t>
      </w:r>
      <w:proofErr w:type="spellEnd"/>
      <w:r>
        <w:rPr>
          <w:rFonts w:ascii="Times" w:eastAsia="Times" w:hAnsi="Times" w:cs="Times"/>
          <w:sz w:val="28"/>
          <w:szCs w:val="28"/>
        </w:rPr>
        <w:t xml:space="preserve"> vice.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Yet all of these facts have been overlooked by this Court or disregarded.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“Florida has long followed the rule that the beneficiaries of a trust are indispensable parties to a suit having the t</w:t>
      </w:r>
      <w:r>
        <w:rPr>
          <w:rFonts w:ascii="Times" w:eastAsia="Times" w:hAnsi="Times" w:cs="Times"/>
          <w:sz w:val="28"/>
          <w:szCs w:val="28"/>
        </w:rPr>
        <w:t>ermination of the beneficiaries’ interest</w:t>
      </w:r>
      <w:r>
        <w:rPr>
          <w:rFonts w:ascii="Times" w:eastAsia="Times" w:hAnsi="Times" w:cs="Times"/>
          <w:sz w:val="28"/>
          <w:szCs w:val="28"/>
        </w:rPr>
        <w:br/>
        <w:t>as its ultimate goal.” Fulmer v. N. Cent. Bank, 386 So. 2d 856, 858 (Fla. 2d DCA</w:t>
      </w:r>
      <w:r>
        <w:rPr>
          <w:rFonts w:ascii="Times" w:eastAsia="Times" w:hAnsi="Times" w:cs="Times"/>
          <w:sz w:val="28"/>
          <w:szCs w:val="28"/>
        </w:rPr>
        <w:br/>
        <w:t xml:space="preserve">1980) (citing Byers v. </w:t>
      </w:r>
      <w:proofErr w:type="spellStart"/>
      <w:r>
        <w:rPr>
          <w:rFonts w:ascii="Times" w:eastAsia="Times" w:hAnsi="Times" w:cs="Times"/>
          <w:sz w:val="28"/>
          <w:szCs w:val="28"/>
        </w:rPr>
        <w:t>Beddow</w:t>
      </w:r>
      <w:proofErr w:type="spellEnd"/>
      <w:r>
        <w:rPr>
          <w:rFonts w:ascii="Times" w:eastAsia="Times" w:hAnsi="Times" w:cs="Times"/>
          <w:sz w:val="28"/>
          <w:szCs w:val="28"/>
        </w:rPr>
        <w:t>, 142 So. 894, 896 (Fla. 1932), which held that a</w:t>
      </w:r>
      <w:r>
        <w:rPr>
          <w:rFonts w:ascii="Times" w:eastAsia="Times" w:hAnsi="Times" w:cs="Times"/>
          <w:sz w:val="28"/>
          <w:szCs w:val="28"/>
        </w:rPr>
        <w:br/>
        <w:t xml:space="preserve">court called upon “to dissolve or terminate a trust . </w:t>
      </w:r>
      <w:r>
        <w:rPr>
          <w:rFonts w:ascii="Times" w:eastAsia="Times" w:hAnsi="Times" w:cs="Times"/>
          <w:sz w:val="28"/>
          <w:szCs w:val="28"/>
        </w:rPr>
        <w:t>. . must decline to act when</w:t>
      </w:r>
      <w:r>
        <w:rPr>
          <w:rFonts w:ascii="Times" w:eastAsia="Times" w:hAnsi="Times" w:cs="Times"/>
          <w:sz w:val="28"/>
          <w:szCs w:val="28"/>
        </w:rPr>
        <w:br/>
        <w:t>there are, or may be, persons interested in the trust who are not before the court”)</w:t>
      </w:r>
      <w:proofErr w:type="gramStart"/>
      <w:r>
        <w:rPr>
          <w:rFonts w:ascii="Times" w:eastAsia="Times" w:hAnsi="Times" w:cs="Times"/>
          <w:sz w:val="28"/>
          <w:szCs w:val="28"/>
        </w:rPr>
        <w:t>.</w:t>
      </w:r>
      <w:proofErr w:type="gramEnd"/>
      <w:r>
        <w:rPr>
          <w:rFonts w:ascii="Times" w:eastAsia="Times" w:hAnsi="Times" w:cs="Times"/>
          <w:sz w:val="28"/>
          <w:szCs w:val="28"/>
        </w:rPr>
        <w:br/>
        <w:t>“Indispensable parties are necessary parties so essential to a suit that no final</w:t>
      </w:r>
      <w:r>
        <w:rPr>
          <w:rFonts w:ascii="Times" w:eastAsia="Times" w:hAnsi="Times" w:cs="Times"/>
          <w:sz w:val="28"/>
          <w:szCs w:val="28"/>
        </w:rPr>
        <w:br/>
        <w:t xml:space="preserve">decision can be rendered without their joinder.” </w:t>
      </w:r>
      <w:proofErr w:type="spellStart"/>
      <w:r>
        <w:rPr>
          <w:rFonts w:ascii="Times" w:eastAsia="Times" w:hAnsi="Times" w:cs="Times"/>
          <w:sz w:val="28"/>
          <w:szCs w:val="28"/>
        </w:rPr>
        <w:t>Sudhoff</w:t>
      </w:r>
      <w:proofErr w:type="spellEnd"/>
      <w:r>
        <w:rPr>
          <w:rFonts w:ascii="Times" w:eastAsia="Times" w:hAnsi="Times" w:cs="Times"/>
          <w:sz w:val="28"/>
          <w:szCs w:val="28"/>
        </w:rPr>
        <w:t xml:space="preserve"> v.</w:t>
      </w:r>
      <w:r>
        <w:rPr>
          <w:rFonts w:ascii="Times" w:eastAsia="Times" w:hAnsi="Times" w:cs="Times"/>
          <w:sz w:val="28"/>
          <w:szCs w:val="28"/>
        </w:rPr>
        <w:t xml:space="preserve"> Fed. Nat’l Mortgage</w:t>
      </w:r>
      <w:r>
        <w:rPr>
          <w:rFonts w:ascii="Times" w:eastAsia="Times" w:hAnsi="Times" w:cs="Times"/>
          <w:sz w:val="28"/>
          <w:szCs w:val="28"/>
        </w:rPr>
        <w:br/>
      </w:r>
      <w:proofErr w:type="spellStart"/>
      <w:r>
        <w:rPr>
          <w:rFonts w:ascii="Times" w:eastAsia="Times" w:hAnsi="Times" w:cs="Times"/>
          <w:sz w:val="28"/>
          <w:szCs w:val="28"/>
        </w:rPr>
        <w:lastRenderedPageBreak/>
        <w:t>Ass’n</w:t>
      </w:r>
      <w:proofErr w:type="spellEnd"/>
      <w:r>
        <w:rPr>
          <w:rFonts w:ascii="Times" w:eastAsia="Times" w:hAnsi="Times" w:cs="Times"/>
          <w:sz w:val="28"/>
          <w:szCs w:val="28"/>
        </w:rPr>
        <w:t>, 942 So. 2d 425, 427 (Fla. 5th DCA 2006)…</w:t>
      </w:r>
      <w:proofErr w:type="spellStart"/>
      <w:r>
        <w:rPr>
          <w:rFonts w:ascii="Times" w:eastAsia="Times" w:hAnsi="Times" w:cs="Times"/>
          <w:sz w:val="28"/>
          <w:szCs w:val="28"/>
        </w:rPr>
        <w:t>Crescenze</w:t>
      </w:r>
      <w:proofErr w:type="spellEnd"/>
      <w:r>
        <w:rPr>
          <w:rFonts w:ascii="Times" w:eastAsia="Times" w:hAnsi="Times" w:cs="Times"/>
          <w:sz w:val="28"/>
          <w:szCs w:val="28"/>
        </w:rPr>
        <w:t xml:space="preserve"> v. Bothe, et al, 34 </w:t>
      </w:r>
      <w:proofErr w:type="spellStart"/>
      <w:r>
        <w:rPr>
          <w:rFonts w:ascii="Times" w:eastAsia="Times" w:hAnsi="Times" w:cs="Times"/>
          <w:sz w:val="28"/>
          <w:szCs w:val="28"/>
        </w:rPr>
        <w:t>Fla.L.Weekly</w:t>
      </w:r>
      <w:proofErr w:type="spellEnd"/>
      <w:r>
        <w:rPr>
          <w:rFonts w:ascii="Times" w:eastAsia="Times" w:hAnsi="Times" w:cs="Times"/>
          <w:sz w:val="28"/>
          <w:szCs w:val="28"/>
        </w:rPr>
        <w:t xml:space="preserve"> D284a (Fla.2nd DCA Case 2D08-2202, February 4, 2009)/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There was sufficient proof in the Record existed to Raise Undue Influence at least in the </w:t>
      </w:r>
      <w:r>
        <w:rPr>
          <w:rFonts w:ascii="Times" w:eastAsia="Times" w:hAnsi="Times" w:cs="Times"/>
          <w:sz w:val="28"/>
          <w:szCs w:val="28"/>
        </w:rPr>
        <w:t>Simon Bernstein case and it was error to not shift the burden and further</w:t>
      </w:r>
      <w:r>
        <w:rPr>
          <w:rFonts w:ascii="Times" w:eastAsia="Times" w:hAnsi="Times" w:cs="Times"/>
          <w:sz w:val="28"/>
          <w:szCs w:val="28"/>
        </w:rPr>
        <w:br/>
        <w:t>error to deny proper pre-trial procedures and limit the Trial to “one day”.</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proofErr w:type="spellStart"/>
      <w:r>
        <w:rPr>
          <w:rFonts w:ascii="Times" w:eastAsia="Times" w:hAnsi="Times" w:cs="Times"/>
          <w:sz w:val="28"/>
          <w:szCs w:val="28"/>
        </w:rPr>
        <w:t>F.S</w:t>
      </w:r>
      <w:proofErr w:type="spellEnd"/>
      <w:r>
        <w:rPr>
          <w:rFonts w:ascii="Times" w:eastAsia="Times" w:hAnsi="Times" w:cs="Times"/>
          <w:sz w:val="28"/>
          <w:szCs w:val="28"/>
        </w:rPr>
        <w:t>. §733.107(2) specifically mandates that the “presumption of undue influence</w:t>
      </w:r>
      <w:r>
        <w:rPr>
          <w:rFonts w:ascii="Times" w:eastAsia="Times" w:hAnsi="Times" w:cs="Times"/>
          <w:sz w:val="28"/>
          <w:szCs w:val="28"/>
        </w:rPr>
        <w:br/>
        <w:t>implements public policy .</w:t>
      </w:r>
      <w:r>
        <w:rPr>
          <w:rFonts w:ascii="Times" w:eastAsia="Times" w:hAnsi="Times" w:cs="Times"/>
          <w:sz w:val="28"/>
          <w:szCs w:val="28"/>
        </w:rPr>
        <w:t xml:space="preserve"> . . and is therefore a presumption shifting the burden of</w:t>
      </w:r>
      <w:r>
        <w:rPr>
          <w:rFonts w:ascii="Times" w:eastAsia="Times" w:hAnsi="Times" w:cs="Times"/>
          <w:sz w:val="28"/>
          <w:szCs w:val="28"/>
        </w:rPr>
        <w:br/>
        <w:t>proof under ss. 90.301–90.304.” Accordingly, when the presumption of undue</w:t>
      </w:r>
      <w:r>
        <w:rPr>
          <w:rFonts w:ascii="Times" w:eastAsia="Times" w:hAnsi="Times" w:cs="Times"/>
          <w:sz w:val="28"/>
          <w:szCs w:val="28"/>
        </w:rPr>
        <w:br/>
        <w:t>influence arises, the alleged wrongdoer bears the burden of proving there was no</w:t>
      </w:r>
      <w:r>
        <w:rPr>
          <w:rFonts w:ascii="Times" w:eastAsia="Times" w:hAnsi="Times" w:cs="Times"/>
          <w:sz w:val="28"/>
          <w:szCs w:val="28"/>
        </w:rPr>
        <w:br/>
        <w:t>undue influence.</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Undue influence is rarely susceptible of direct proof because of secret or private</w:t>
      </w:r>
      <w:r>
        <w:rPr>
          <w:rFonts w:ascii="Times" w:eastAsia="Times" w:hAnsi="Times" w:cs="Times"/>
          <w:sz w:val="28"/>
          <w:szCs w:val="28"/>
        </w:rPr>
        <w:br/>
        <w:t>dealings between the decedent and the alleged wrongdoer; the latter typically</w:t>
      </w:r>
      <w:r>
        <w:rPr>
          <w:rFonts w:ascii="Times" w:eastAsia="Times" w:hAnsi="Times" w:cs="Times"/>
          <w:sz w:val="28"/>
          <w:szCs w:val="28"/>
        </w:rPr>
        <w:br/>
        <w:t>testifies that he did nothing wrong, and the decedent never testifies to the contrary.</w:t>
      </w:r>
      <w:r>
        <w:rPr>
          <w:rFonts w:ascii="Times" w:eastAsia="Times" w:hAnsi="Times" w:cs="Times"/>
          <w:sz w:val="28"/>
          <w:szCs w:val="28"/>
        </w:rPr>
        <w:br/>
        <w:t>Self-ser</w:t>
      </w:r>
      <w:r>
        <w:rPr>
          <w:rFonts w:ascii="Times" w:eastAsia="Times" w:hAnsi="Times" w:cs="Times"/>
          <w:sz w:val="28"/>
          <w:szCs w:val="28"/>
        </w:rPr>
        <w:t xml:space="preserve">ving testimony of the alleged wrongdoer is inherently </w:t>
      </w:r>
      <w:proofErr w:type="gramStart"/>
      <w:r>
        <w:rPr>
          <w:rFonts w:ascii="Times" w:eastAsia="Times" w:hAnsi="Times" w:cs="Times"/>
          <w:sz w:val="28"/>
          <w:szCs w:val="28"/>
        </w:rPr>
        <w:t>suspect</w:t>
      </w:r>
      <w:proofErr w:type="gramEnd"/>
      <w:r>
        <w:rPr>
          <w:rFonts w:ascii="Times" w:eastAsia="Times" w:hAnsi="Times" w:cs="Times"/>
          <w:sz w:val="28"/>
          <w:szCs w:val="28"/>
        </w:rPr>
        <w:t>, but is often</w:t>
      </w:r>
      <w:r>
        <w:rPr>
          <w:rFonts w:ascii="Times" w:eastAsia="Times" w:hAnsi="Times" w:cs="Times"/>
          <w:sz w:val="28"/>
          <w:szCs w:val="28"/>
        </w:rPr>
        <w:br/>
        <w:t>difficult to overcome for lack of more compelling direct evidence.</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The April 9, 2012 document alone shows facial undue influence of Simon</w:t>
      </w:r>
      <w:r>
        <w:rPr>
          <w:rFonts w:ascii="Times" w:eastAsia="Times" w:hAnsi="Times" w:cs="Times"/>
          <w:sz w:val="28"/>
          <w:szCs w:val="28"/>
        </w:rPr>
        <w:br/>
        <w:t>Bernstein as assuming arguendo this was hi</w:t>
      </w:r>
      <w:r>
        <w:rPr>
          <w:rFonts w:ascii="Times" w:eastAsia="Times" w:hAnsi="Times" w:cs="Times"/>
          <w:sz w:val="28"/>
          <w:szCs w:val="28"/>
        </w:rPr>
        <w:t>s signature, it was clearly done</w:t>
      </w:r>
      <w:r>
        <w:rPr>
          <w:rFonts w:ascii="Times" w:eastAsia="Times" w:hAnsi="Times" w:cs="Times"/>
          <w:sz w:val="28"/>
          <w:szCs w:val="28"/>
        </w:rPr>
        <w:br/>
        <w:t>fraudulently as Simon knew the Waivers had not been signed for the Petition for</w:t>
      </w:r>
      <w:r>
        <w:rPr>
          <w:rFonts w:ascii="Times" w:eastAsia="Times" w:hAnsi="Times" w:cs="Times"/>
          <w:sz w:val="28"/>
          <w:szCs w:val="28"/>
        </w:rPr>
        <w:br/>
        <w:t>Discharge. See ROA1 __</w:t>
      </w:r>
      <w:proofErr w:type="gramStart"/>
      <w:r>
        <w:rPr>
          <w:rFonts w:ascii="Times" w:eastAsia="Times" w:hAnsi="Times" w:cs="Times"/>
          <w:sz w:val="28"/>
          <w:szCs w:val="28"/>
        </w:rPr>
        <w:t>_ .</w:t>
      </w:r>
      <w:proofErr w:type="gramEnd"/>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Further is the very need for the “May 2012” family meeting and Simon’s fiduciary </w:t>
      </w:r>
      <w:r>
        <w:rPr>
          <w:rFonts w:ascii="Times" w:eastAsia="Times" w:hAnsi="Times" w:cs="Times"/>
          <w:sz w:val="28"/>
          <w:szCs w:val="28"/>
        </w:rPr>
        <w:lastRenderedPageBreak/>
        <w:t xml:space="preserve">Spallina communicating confidential </w:t>
      </w:r>
      <w:r>
        <w:rPr>
          <w:rFonts w:ascii="Times" w:eastAsia="Times" w:hAnsi="Times" w:cs="Times"/>
          <w:sz w:val="28"/>
          <w:szCs w:val="28"/>
        </w:rPr>
        <w:t>information to Pam Simon about being cut out of the Wills and Trusts which presumably was communicated to Ted Bernstein who had a long standing business relationship with Spallina and brought Spallina and Tescher into Simon’s life.</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Further, if Simon was tr</w:t>
      </w:r>
      <w:r>
        <w:rPr>
          <w:rFonts w:ascii="Times" w:eastAsia="Times" w:hAnsi="Times" w:cs="Times"/>
          <w:sz w:val="28"/>
          <w:szCs w:val="28"/>
        </w:rPr>
        <w:t>uly so “poor” as Ted Bernstein would suggest while the Appellee and Estate have failed to account for literally millions of dollars of assets documented, this would be reflective of undue influence on Simon as well and so is the alleged “absence” of all of</w:t>
      </w:r>
      <w:r>
        <w:rPr>
          <w:rFonts w:ascii="Times" w:eastAsia="Times" w:hAnsi="Times" w:cs="Times"/>
          <w:sz w:val="28"/>
          <w:szCs w:val="28"/>
        </w:rPr>
        <w:t xml:space="preserve"> Simon’s records reflective of undue influence that should have been fully heard and a new trial is needed.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The face of the Records such as the April 9, 2012 Petition for Discharge in the Shirley Bernstein Estate case, clearly fraudulent document signed b</w:t>
      </w:r>
      <w:r>
        <w:rPr>
          <w:rFonts w:ascii="Times" w:eastAsia="Times" w:hAnsi="Times" w:cs="Times"/>
          <w:sz w:val="28"/>
          <w:szCs w:val="28"/>
        </w:rPr>
        <w:t>y Fiduciary Spallina and allegedly signed by Simon Bernstein created sufficient presumption of undue influence on Simon prior to any alleged changed to his Will and Trust in July 2012. Ted Bernstein did not rebut said undue influence nor was one day suffic</w:t>
      </w:r>
      <w:r>
        <w:rPr>
          <w:rFonts w:ascii="Times" w:eastAsia="Times" w:hAnsi="Times" w:cs="Times"/>
          <w:sz w:val="28"/>
          <w:szCs w:val="28"/>
        </w:rPr>
        <w:t xml:space="preserve">ient for such a trial. The missing mail, missing records, missing discovery, missing account statements and missing millions are sufficient to support and bolster the undue influence Simon Bernstein was under rendering any changes to his Will and Trust in </w:t>
      </w:r>
      <w:r>
        <w:rPr>
          <w:rFonts w:ascii="Times" w:eastAsia="Times" w:hAnsi="Times" w:cs="Times"/>
          <w:sz w:val="28"/>
          <w:szCs w:val="28"/>
        </w:rPr>
        <w:t>2012 invalid. The Court abused its discretion by not applying adverse inferences against Ted Bernstein for missing and spoliation of evidence and records and failure to call the other witnesses at Trial.</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lastRenderedPageBreak/>
        <w:t>The Court abused its discretion by not structuring p</w:t>
      </w:r>
      <w:r>
        <w:rPr>
          <w:rFonts w:ascii="Times" w:eastAsia="Times" w:hAnsi="Times" w:cs="Times"/>
          <w:sz w:val="28"/>
          <w:szCs w:val="28"/>
        </w:rPr>
        <w:t>re-trial procedures to establish</w:t>
      </w:r>
      <w:r>
        <w:rPr>
          <w:rFonts w:ascii="Times" w:eastAsia="Times" w:hAnsi="Times" w:cs="Times"/>
          <w:sz w:val="28"/>
          <w:szCs w:val="28"/>
        </w:rPr>
        <w:br/>
        <w:t>this challenge to the Wills and Trusts and by limiting the Trial to one day.</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Moreover, for Shirley to allegedly have made Ted a “trustee” when otherwise</w:t>
      </w:r>
      <w:r>
        <w:rPr>
          <w:rFonts w:ascii="Times" w:eastAsia="Times" w:hAnsi="Times" w:cs="Times"/>
          <w:sz w:val="28"/>
          <w:szCs w:val="28"/>
        </w:rPr>
        <w:br/>
        <w:t>making him “pre-deceased” is reflective of some improper influence par</w:t>
      </w:r>
      <w:r>
        <w:rPr>
          <w:rFonts w:ascii="Times" w:eastAsia="Times" w:hAnsi="Times" w:cs="Times"/>
          <w:sz w:val="28"/>
          <w:szCs w:val="28"/>
        </w:rPr>
        <w:t>ticularly</w:t>
      </w:r>
      <w:r>
        <w:rPr>
          <w:rFonts w:ascii="Times" w:eastAsia="Times" w:hAnsi="Times" w:cs="Times"/>
          <w:sz w:val="28"/>
          <w:szCs w:val="28"/>
        </w:rPr>
        <w:br/>
        <w:t>where Simon’s 2008 documents named William Stansbury to all fiduciary</w:t>
      </w:r>
      <w:r>
        <w:rPr>
          <w:rFonts w:ascii="Times" w:eastAsia="Times" w:hAnsi="Times" w:cs="Times"/>
          <w:sz w:val="28"/>
          <w:szCs w:val="28"/>
        </w:rPr>
        <w:br/>
        <w:t>positions and the documents were supposed to “mirror” each other. A new trial</w:t>
      </w:r>
      <w:r>
        <w:rPr>
          <w:rFonts w:ascii="Times" w:eastAsia="Times" w:hAnsi="Times" w:cs="Times"/>
          <w:sz w:val="28"/>
          <w:szCs w:val="28"/>
        </w:rPr>
        <w:br/>
        <w:t xml:space="preserve">must be ordered.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Moreover, there being no basis legally to alter Shirley’s Trust after it became </w:t>
      </w:r>
      <w:r>
        <w:rPr>
          <w:rFonts w:ascii="Times" w:eastAsia="Times" w:hAnsi="Times" w:cs="Times"/>
          <w:sz w:val="28"/>
          <w:szCs w:val="28"/>
        </w:rPr>
        <w:t xml:space="preserve">“irrevocable”, the great efforts of Ted and Spallina to allegedly </w:t>
      </w:r>
      <w:proofErr w:type="spellStart"/>
      <w:r>
        <w:rPr>
          <w:rFonts w:ascii="Times" w:eastAsia="Times" w:hAnsi="Times" w:cs="Times"/>
          <w:sz w:val="28"/>
          <w:szCs w:val="28"/>
        </w:rPr>
        <w:t>due</w:t>
      </w:r>
      <w:proofErr w:type="spellEnd"/>
      <w:r>
        <w:rPr>
          <w:rFonts w:ascii="Times" w:eastAsia="Times" w:hAnsi="Times" w:cs="Times"/>
          <w:sz w:val="28"/>
          <w:szCs w:val="28"/>
        </w:rPr>
        <w:t xml:space="preserve"> so through an alleged Power of Appointment is reflective of the undue influence on Simon.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Further, denial of proper discovery of all the missing records, mails</w:t>
      </w:r>
      <w:proofErr w:type="gramStart"/>
      <w:r>
        <w:rPr>
          <w:rFonts w:ascii="Times" w:eastAsia="Times" w:hAnsi="Times" w:cs="Times"/>
          <w:sz w:val="28"/>
          <w:szCs w:val="28"/>
        </w:rPr>
        <w:t>,</w:t>
      </w:r>
      <w:proofErr w:type="gramEnd"/>
      <w:r>
        <w:rPr>
          <w:rFonts w:ascii="Times" w:eastAsia="Times" w:hAnsi="Times" w:cs="Times"/>
          <w:sz w:val="28"/>
          <w:szCs w:val="28"/>
        </w:rPr>
        <w:br/>
        <w:t>accounts and monies impr</w:t>
      </w:r>
      <w:r>
        <w:rPr>
          <w:rFonts w:ascii="Times" w:eastAsia="Times" w:hAnsi="Times" w:cs="Times"/>
          <w:sz w:val="28"/>
          <w:szCs w:val="28"/>
        </w:rPr>
        <w:t>operly precluded this challenge to the Wills and Trusts.</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Florida Rules of Civil Procedure 1.200 provides in part that, “PRETRIAL</w:t>
      </w:r>
      <w:r>
        <w:rPr>
          <w:rFonts w:ascii="Times" w:eastAsia="Times" w:hAnsi="Times" w:cs="Times"/>
          <w:sz w:val="28"/>
          <w:szCs w:val="28"/>
        </w:rPr>
        <w:br/>
        <w:t>PROCEDURE (a) Case Management Conference. At any time after responsive</w:t>
      </w:r>
      <w:r>
        <w:rPr>
          <w:rFonts w:ascii="Times" w:eastAsia="Times" w:hAnsi="Times" w:cs="Times"/>
          <w:sz w:val="28"/>
          <w:szCs w:val="28"/>
        </w:rPr>
        <w:br/>
        <w:t xml:space="preserve">pleadings or motions are due, the court may order, or a </w:t>
      </w:r>
      <w:r>
        <w:rPr>
          <w:rFonts w:ascii="Times" w:eastAsia="Times" w:hAnsi="Times" w:cs="Times"/>
          <w:sz w:val="28"/>
          <w:szCs w:val="28"/>
        </w:rPr>
        <w:t>party, by serving a notice</w:t>
      </w:r>
      <w:proofErr w:type="gramStart"/>
      <w:r>
        <w:rPr>
          <w:rFonts w:ascii="Times" w:eastAsia="Times" w:hAnsi="Times" w:cs="Times"/>
          <w:sz w:val="28"/>
          <w:szCs w:val="28"/>
        </w:rPr>
        <w:t>,</w:t>
      </w:r>
      <w:proofErr w:type="gramEnd"/>
      <w:r>
        <w:rPr>
          <w:rFonts w:ascii="Times" w:eastAsia="Times" w:hAnsi="Times" w:cs="Times"/>
          <w:sz w:val="28"/>
          <w:szCs w:val="28"/>
        </w:rPr>
        <w:br/>
        <w:t>may convene, a case management conference. The matter to be considered shall</w:t>
      </w:r>
      <w:r>
        <w:rPr>
          <w:rFonts w:ascii="Times" w:eastAsia="Times" w:hAnsi="Times" w:cs="Times"/>
          <w:sz w:val="28"/>
          <w:szCs w:val="28"/>
        </w:rPr>
        <w:br/>
        <w:t xml:space="preserve">be specified in the order or notice setting the conference.” </w:t>
      </w:r>
      <w:proofErr w:type="gramStart"/>
      <w:r>
        <w:rPr>
          <w:rFonts w:ascii="Times" w:eastAsia="Times" w:hAnsi="Times" w:cs="Times"/>
          <w:sz w:val="28"/>
          <w:szCs w:val="28"/>
        </w:rPr>
        <w:t>( emphasis</w:t>
      </w:r>
      <w:proofErr w:type="gramEnd"/>
      <w:r>
        <w:rPr>
          <w:rFonts w:ascii="Times" w:eastAsia="Times" w:hAnsi="Times" w:cs="Times"/>
          <w:sz w:val="28"/>
          <w:szCs w:val="28"/>
        </w:rPr>
        <w:t xml:space="preserve"> added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In this case, the lower tribunal clearly </w:t>
      </w:r>
      <w:proofErr w:type="gramStart"/>
      <w:r>
        <w:rPr>
          <w:rFonts w:ascii="Times" w:eastAsia="Times" w:hAnsi="Times" w:cs="Times"/>
          <w:sz w:val="28"/>
          <w:szCs w:val="28"/>
        </w:rPr>
        <w:t>Ordered</w:t>
      </w:r>
      <w:proofErr w:type="gramEnd"/>
      <w:r>
        <w:rPr>
          <w:rFonts w:ascii="Times" w:eastAsia="Times" w:hAnsi="Times" w:cs="Times"/>
          <w:sz w:val="28"/>
          <w:szCs w:val="28"/>
        </w:rPr>
        <w:t xml:space="preserve"> a Trial in a case tha</w:t>
      </w:r>
      <w:r>
        <w:rPr>
          <w:rFonts w:ascii="Times" w:eastAsia="Times" w:hAnsi="Times" w:cs="Times"/>
          <w:sz w:val="28"/>
          <w:szCs w:val="28"/>
        </w:rPr>
        <w:t>t was not</w:t>
      </w:r>
      <w:r>
        <w:rPr>
          <w:rFonts w:ascii="Times" w:eastAsia="Times" w:hAnsi="Times" w:cs="Times"/>
          <w:sz w:val="28"/>
          <w:szCs w:val="28"/>
        </w:rPr>
        <w:br/>
        <w:t>noticed for Case-Management in violation of the Rules of Procedure, procedural</w:t>
      </w:r>
      <w:r>
        <w:rPr>
          <w:rFonts w:ascii="Times" w:eastAsia="Times" w:hAnsi="Times" w:cs="Times"/>
          <w:sz w:val="28"/>
          <w:szCs w:val="28"/>
        </w:rPr>
        <w:br/>
        <w:t>due process and then denying Appellant a fair opportunity to be heard to clarify the</w:t>
      </w:r>
      <w:r>
        <w:rPr>
          <w:rFonts w:ascii="Times" w:eastAsia="Times" w:hAnsi="Times" w:cs="Times"/>
          <w:sz w:val="28"/>
          <w:szCs w:val="28"/>
        </w:rPr>
        <w:br/>
      </w:r>
      <w:r>
        <w:rPr>
          <w:rFonts w:ascii="Times" w:eastAsia="Times" w:hAnsi="Times" w:cs="Times"/>
          <w:sz w:val="28"/>
          <w:szCs w:val="28"/>
        </w:rPr>
        <w:lastRenderedPageBreak/>
        <w:t>matter violating substantive due process. See, (Appendix #14 - September 15th</w:t>
      </w:r>
      <w:proofErr w:type="gramStart"/>
      <w:r>
        <w:rPr>
          <w:rFonts w:ascii="Times" w:eastAsia="Times" w:hAnsi="Times" w:cs="Times"/>
          <w:sz w:val="28"/>
          <w:szCs w:val="28"/>
        </w:rPr>
        <w:t>,</w:t>
      </w:r>
      <w:proofErr w:type="gramEnd"/>
      <w:r>
        <w:rPr>
          <w:rFonts w:ascii="Times" w:eastAsia="Times" w:hAnsi="Times" w:cs="Times"/>
          <w:sz w:val="28"/>
          <w:szCs w:val="28"/>
        </w:rPr>
        <w:br/>
        <w:t>201</w:t>
      </w:r>
      <w:r>
        <w:rPr>
          <w:rFonts w:ascii="Times" w:eastAsia="Times" w:hAnsi="Times" w:cs="Times"/>
          <w:sz w:val="28"/>
          <w:szCs w:val="28"/>
        </w:rPr>
        <w:t>5 Transcript.) See further, (APPENDIX #24 - Case-Management Notice in the</w:t>
      </w:r>
      <w:r>
        <w:rPr>
          <w:rFonts w:ascii="Times" w:eastAsia="Times" w:hAnsi="Times" w:cs="Times"/>
          <w:sz w:val="28"/>
          <w:szCs w:val="28"/>
        </w:rPr>
        <w:br/>
        <w:t>Simon Bernstein Estate case.)</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“The goals of these procedural rules are "to eliminate surprise, to encourage</w:t>
      </w:r>
      <w:r>
        <w:rPr>
          <w:rFonts w:ascii="Times" w:eastAsia="Times" w:hAnsi="Times" w:cs="Times"/>
          <w:sz w:val="28"/>
          <w:szCs w:val="28"/>
        </w:rPr>
        <w:br/>
        <w:t>settlement, and to assist in arriving at the truth."</w:t>
      </w:r>
      <w:r>
        <w:rPr>
          <w:rFonts w:ascii="Times" w:eastAsia="Times" w:hAnsi="Times" w:cs="Times"/>
          <w:sz w:val="28"/>
          <w:szCs w:val="28"/>
        </w:rPr>
        <w:t xml:space="preserve"> Spencer v. Beverly, 307 So.2d</w:t>
      </w:r>
      <w:r>
        <w:rPr>
          <w:rFonts w:ascii="Times" w:eastAsia="Times" w:hAnsi="Times" w:cs="Times"/>
          <w:sz w:val="28"/>
          <w:szCs w:val="28"/>
        </w:rPr>
        <w:br/>
        <w:t>461, 462 (Fla. 4th DCA 1975) (Downey, J., concurring), cert. denied, 314 So.2d</w:t>
      </w:r>
      <w:r>
        <w:rPr>
          <w:rFonts w:ascii="Times" w:eastAsia="Times" w:hAnsi="Times" w:cs="Times"/>
          <w:sz w:val="28"/>
          <w:szCs w:val="28"/>
        </w:rPr>
        <w:br/>
        <w:t>590 (Fla. 1975). We recently reiterated those goals. “A search for truth and justice</w:t>
      </w:r>
      <w:r>
        <w:rPr>
          <w:rFonts w:ascii="Times" w:eastAsia="Times" w:hAnsi="Times" w:cs="Times"/>
          <w:sz w:val="28"/>
          <w:szCs w:val="28"/>
        </w:rPr>
        <w:br/>
        <w:t>can be accomplished only when all relevant facts are before t</w:t>
      </w:r>
      <w:r>
        <w:rPr>
          <w:rFonts w:ascii="Times" w:eastAsia="Times" w:hAnsi="Times" w:cs="Times"/>
          <w:sz w:val="28"/>
          <w:szCs w:val="28"/>
        </w:rPr>
        <w:t>he judicial tribunal.</w:t>
      </w:r>
      <w:r>
        <w:rPr>
          <w:rFonts w:ascii="Times" w:eastAsia="Times" w:hAnsi="Times" w:cs="Times"/>
          <w:sz w:val="28"/>
          <w:szCs w:val="28"/>
        </w:rPr>
        <w:br/>
        <w:t>Those relevant facts should be the determining factor rather than gamesmanship</w:t>
      </w:r>
      <w:proofErr w:type="gramStart"/>
      <w:r>
        <w:rPr>
          <w:rFonts w:ascii="Times" w:eastAsia="Times" w:hAnsi="Times" w:cs="Times"/>
          <w:sz w:val="28"/>
          <w:szCs w:val="28"/>
        </w:rPr>
        <w:t>,</w:t>
      </w:r>
      <w:proofErr w:type="gramEnd"/>
      <w:r>
        <w:rPr>
          <w:rFonts w:ascii="Times" w:eastAsia="Times" w:hAnsi="Times" w:cs="Times"/>
          <w:sz w:val="28"/>
          <w:szCs w:val="28"/>
        </w:rPr>
        <w:br/>
        <w:t xml:space="preserve">surprise, or superior trial tactics. Dodson v. </w:t>
      </w:r>
      <w:proofErr w:type="spellStart"/>
      <w:r>
        <w:rPr>
          <w:rFonts w:ascii="Times" w:eastAsia="Times" w:hAnsi="Times" w:cs="Times"/>
          <w:sz w:val="28"/>
          <w:szCs w:val="28"/>
        </w:rPr>
        <w:t>Persell</w:t>
      </w:r>
      <w:proofErr w:type="spellEnd"/>
      <w:r>
        <w:rPr>
          <w:rFonts w:ascii="Times" w:eastAsia="Times" w:hAnsi="Times" w:cs="Times"/>
          <w:sz w:val="28"/>
          <w:szCs w:val="28"/>
        </w:rPr>
        <w:t xml:space="preserve">, 390 So.2d 704, 707 (Fla. 1980).” See, BINGER v. KING PEST CONTROL, </w:t>
      </w:r>
      <w:proofErr w:type="gramStart"/>
      <w:r>
        <w:rPr>
          <w:rFonts w:ascii="Times" w:eastAsia="Times" w:hAnsi="Times" w:cs="Times"/>
          <w:sz w:val="28"/>
          <w:szCs w:val="28"/>
        </w:rPr>
        <w:t>401 So.2d 1310</w:t>
      </w:r>
      <w:proofErr w:type="gramEnd"/>
      <w:r>
        <w:rPr>
          <w:rFonts w:ascii="Times" w:eastAsia="Times" w:hAnsi="Times" w:cs="Times"/>
          <w:sz w:val="28"/>
          <w:szCs w:val="28"/>
        </w:rPr>
        <w:t xml:space="preserve"> (1981).</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As the F</w:t>
      </w:r>
      <w:r>
        <w:rPr>
          <w:rFonts w:ascii="Times" w:eastAsia="Times" w:hAnsi="Times" w:cs="Times"/>
          <w:sz w:val="28"/>
          <w:szCs w:val="28"/>
        </w:rPr>
        <w:t xml:space="preserve">lorida Supreme Court said in Dodson v. </w:t>
      </w:r>
      <w:proofErr w:type="spellStart"/>
      <w:r>
        <w:rPr>
          <w:rFonts w:ascii="Times" w:eastAsia="Times" w:hAnsi="Times" w:cs="Times"/>
          <w:sz w:val="28"/>
          <w:szCs w:val="28"/>
        </w:rPr>
        <w:t>Persell</w:t>
      </w:r>
      <w:proofErr w:type="spellEnd"/>
      <w:r>
        <w:rPr>
          <w:rFonts w:ascii="Times" w:eastAsia="Times" w:hAnsi="Times" w:cs="Times"/>
          <w:sz w:val="28"/>
          <w:szCs w:val="28"/>
        </w:rPr>
        <w:t>, 390 So.2d 704, 707 (Fla</w:t>
      </w:r>
      <w:proofErr w:type="gramStart"/>
      <w:r>
        <w:rPr>
          <w:rFonts w:ascii="Times" w:eastAsia="Times" w:hAnsi="Times" w:cs="Times"/>
          <w:sz w:val="28"/>
          <w:szCs w:val="28"/>
        </w:rPr>
        <w:t>.</w:t>
      </w:r>
      <w:proofErr w:type="gramEnd"/>
      <w:r>
        <w:rPr>
          <w:rFonts w:ascii="Times" w:eastAsia="Times" w:hAnsi="Times" w:cs="Times"/>
          <w:sz w:val="28"/>
          <w:szCs w:val="28"/>
        </w:rPr>
        <w:br/>
        <w:t>1980), “The goals underlying discovery practice are readily apparent in Florida</w:t>
      </w:r>
      <w:r>
        <w:rPr>
          <w:rFonts w:ascii="Times" w:eastAsia="Times" w:hAnsi="Times" w:cs="Times"/>
          <w:sz w:val="28"/>
          <w:szCs w:val="28"/>
        </w:rPr>
        <w:br/>
        <w:t>Rules of Civil Procedure 1.200(c), which provides that a trial court's pretrial order</w:t>
      </w:r>
      <w:r>
        <w:rPr>
          <w:rFonts w:ascii="Times" w:eastAsia="Times" w:hAnsi="Times" w:cs="Times"/>
          <w:sz w:val="28"/>
          <w:szCs w:val="28"/>
        </w:rPr>
        <w:br/>
        <w:t>detailing the agr</w:t>
      </w:r>
      <w:r>
        <w:rPr>
          <w:rFonts w:ascii="Times" w:eastAsia="Times" w:hAnsi="Times" w:cs="Times"/>
          <w:sz w:val="28"/>
          <w:szCs w:val="28"/>
        </w:rPr>
        <w:t>eements made by the parties "shall control the subsequent course</w:t>
      </w:r>
      <w:r>
        <w:rPr>
          <w:rFonts w:ascii="Times" w:eastAsia="Times" w:hAnsi="Times" w:cs="Times"/>
          <w:sz w:val="28"/>
          <w:szCs w:val="28"/>
        </w:rPr>
        <w:br/>
        <w:t>of the action unless modified at the trial to prevent injustice." Consistent with this</w:t>
      </w:r>
      <w:r>
        <w:rPr>
          <w:rFonts w:ascii="Times" w:eastAsia="Times" w:hAnsi="Times" w:cs="Times"/>
          <w:sz w:val="28"/>
          <w:szCs w:val="28"/>
        </w:rPr>
        <w:br/>
        <w:t>rule, we now hold that a pretrial order directing the parties to exchange the names</w:t>
      </w:r>
      <w:r>
        <w:rPr>
          <w:rFonts w:ascii="Times" w:eastAsia="Times" w:hAnsi="Times" w:cs="Times"/>
          <w:sz w:val="28"/>
          <w:szCs w:val="28"/>
        </w:rPr>
        <w:br/>
        <w:t>of witnesses require</w:t>
      </w:r>
      <w:r>
        <w:rPr>
          <w:rFonts w:ascii="Times" w:eastAsia="Times" w:hAnsi="Times" w:cs="Times"/>
          <w:sz w:val="28"/>
          <w:szCs w:val="28"/>
        </w:rPr>
        <w:t>s a listing or notification of all witnesses that the parties</w:t>
      </w:r>
      <w:r>
        <w:rPr>
          <w:rFonts w:ascii="Times" w:eastAsia="Times" w:hAnsi="Times" w:cs="Times"/>
          <w:sz w:val="28"/>
          <w:szCs w:val="28"/>
        </w:rPr>
        <w:br/>
        <w:t>reasonably foresee will be called to testify, whether for substantive, corroborative</w:t>
      </w:r>
      <w:proofErr w:type="gramStart"/>
      <w:r>
        <w:rPr>
          <w:rFonts w:ascii="Times" w:eastAsia="Times" w:hAnsi="Times" w:cs="Times"/>
          <w:sz w:val="28"/>
          <w:szCs w:val="28"/>
        </w:rPr>
        <w:t>,</w:t>
      </w:r>
      <w:proofErr w:type="gramEnd"/>
      <w:r>
        <w:rPr>
          <w:rFonts w:ascii="Times" w:eastAsia="Times" w:hAnsi="Times" w:cs="Times"/>
          <w:sz w:val="28"/>
          <w:szCs w:val="28"/>
        </w:rPr>
        <w:br/>
        <w:t>impeachment or rebuttal purposes. Obviously, a general reference to "any and all</w:t>
      </w:r>
      <w:r>
        <w:rPr>
          <w:rFonts w:ascii="Times" w:eastAsia="Times" w:hAnsi="Times" w:cs="Times"/>
          <w:sz w:val="28"/>
          <w:szCs w:val="28"/>
        </w:rPr>
        <w:br/>
      </w:r>
      <w:r>
        <w:rPr>
          <w:rFonts w:ascii="Times" w:eastAsia="Times" w:hAnsi="Times" w:cs="Times"/>
          <w:sz w:val="28"/>
          <w:szCs w:val="28"/>
        </w:rPr>
        <w:lastRenderedPageBreak/>
        <w:t>necessary" impeachment or r</w:t>
      </w:r>
      <w:r>
        <w:rPr>
          <w:rFonts w:ascii="Times" w:eastAsia="Times" w:hAnsi="Times" w:cs="Times"/>
          <w:sz w:val="28"/>
          <w:szCs w:val="28"/>
        </w:rPr>
        <w:t>ebuttal witnesses, as was the case here, constitutes</w:t>
      </w:r>
      <w:r>
        <w:rPr>
          <w:rFonts w:ascii="Times" w:eastAsia="Times" w:hAnsi="Times" w:cs="Times"/>
          <w:sz w:val="28"/>
          <w:szCs w:val="28"/>
        </w:rPr>
        <w:br/>
        <w:t>inadequate disclosure.”</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These procedures were lacking herein and the Final Judgement must now be</w:t>
      </w:r>
      <w:r>
        <w:rPr>
          <w:rFonts w:ascii="Times" w:eastAsia="Times" w:hAnsi="Times" w:cs="Times"/>
          <w:sz w:val="28"/>
          <w:szCs w:val="28"/>
        </w:rPr>
        <w:br/>
        <w:t xml:space="preserve">vacated and reversed on grounds of Due Process, violation of Procedural Rules, violation of standard 15th </w:t>
      </w:r>
      <w:r>
        <w:rPr>
          <w:rFonts w:ascii="Times" w:eastAsia="Times" w:hAnsi="Times" w:cs="Times"/>
          <w:sz w:val="28"/>
          <w:szCs w:val="28"/>
        </w:rPr>
        <w:t>Judicial Pre Trial Order requirements, abusing discretion by denying lack of time for Necessary witnesses such as Donald Tescher, Traci Kratish, Kimberly Moran and others, failure to have Original documents or allow inspection, failure to have pre-trial de</w:t>
      </w:r>
      <w:r>
        <w:rPr>
          <w:rFonts w:ascii="Times" w:eastAsia="Times" w:hAnsi="Times" w:cs="Times"/>
          <w:sz w:val="28"/>
          <w:szCs w:val="28"/>
        </w:rPr>
        <w:t xml:space="preserve">positions, failure to Name and serve Beneficiaries and indispensable parties.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The parties and public as a whole would benefit from a written decision and clarification on all of these matters.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The Decision herein directly conflicts with the mandates of t</w:t>
      </w:r>
      <w:r>
        <w:rPr>
          <w:rFonts w:ascii="Times" w:eastAsia="Times" w:hAnsi="Times" w:cs="Times"/>
          <w:sz w:val="28"/>
          <w:szCs w:val="28"/>
        </w:rPr>
        <w:t xml:space="preserve">he Florida Supreme Court in Dodson v. </w:t>
      </w:r>
      <w:proofErr w:type="spellStart"/>
      <w:r>
        <w:rPr>
          <w:rFonts w:ascii="Times" w:eastAsia="Times" w:hAnsi="Times" w:cs="Times"/>
          <w:sz w:val="28"/>
          <w:szCs w:val="28"/>
        </w:rPr>
        <w:t>Persell</w:t>
      </w:r>
      <w:proofErr w:type="spellEnd"/>
      <w:r>
        <w:rPr>
          <w:rFonts w:ascii="Times" w:eastAsia="Times" w:hAnsi="Times" w:cs="Times"/>
          <w:sz w:val="28"/>
          <w:szCs w:val="28"/>
        </w:rPr>
        <w:t xml:space="preserve">, 390 So.2d 704, 707 (Fla. 1980).” and BINGER v. KING PEST CONTROL, 401 So.2d 1310 (1981) and the other District Courts of Appeal such as Vollmer v, Key Dev. Props., 966 So.2d 1022, 1027 (Fla. 2nd DCA 2007) </w:t>
      </w:r>
      <w:proofErr w:type="gramStart"/>
      <w:r>
        <w:rPr>
          <w:rFonts w:ascii="Times" w:eastAsia="Times" w:hAnsi="Times" w:cs="Times"/>
          <w:sz w:val="28"/>
          <w:szCs w:val="28"/>
        </w:rPr>
        <w:t xml:space="preserve">and </w:t>
      </w:r>
      <w:r>
        <w:rPr>
          <w:rFonts w:ascii="Times" w:eastAsia="Times" w:hAnsi="Times" w:cs="Times"/>
          <w:sz w:val="28"/>
          <w:szCs w:val="28"/>
        </w:rPr>
        <w:t>”</w:t>
      </w:r>
      <w:proofErr w:type="spellStart"/>
      <w:proofErr w:type="gramEnd"/>
      <w:r>
        <w:rPr>
          <w:rFonts w:ascii="Times" w:eastAsia="Times" w:hAnsi="Times" w:cs="Times"/>
          <w:sz w:val="28"/>
          <w:szCs w:val="28"/>
        </w:rPr>
        <w:t>K.G</w:t>
      </w:r>
      <w:proofErr w:type="spellEnd"/>
      <w:r>
        <w:rPr>
          <w:rFonts w:ascii="Times" w:eastAsia="Times" w:hAnsi="Times" w:cs="Times"/>
          <w:sz w:val="28"/>
          <w:szCs w:val="28"/>
        </w:rPr>
        <w:t>. v. Fla. Dep’t of Children &amp; Families, 66 So. 3d 366 (Fla. 1st DCA 2011) and Fulmer v. N. Cent. Bank, 386 So. 2d 856, 858 (Fla. 2d DCA</w:t>
      </w:r>
      <w:r>
        <w:rPr>
          <w:rFonts w:ascii="Times" w:eastAsia="Times" w:hAnsi="Times" w:cs="Times"/>
          <w:sz w:val="28"/>
          <w:szCs w:val="28"/>
        </w:rPr>
        <w:br/>
        <w:t xml:space="preserve">1980) (citing Byers v. </w:t>
      </w:r>
      <w:proofErr w:type="spellStart"/>
      <w:r>
        <w:rPr>
          <w:rFonts w:ascii="Times" w:eastAsia="Times" w:hAnsi="Times" w:cs="Times"/>
          <w:sz w:val="28"/>
          <w:szCs w:val="28"/>
        </w:rPr>
        <w:t>Beddow</w:t>
      </w:r>
      <w:proofErr w:type="spellEnd"/>
      <w:r>
        <w:rPr>
          <w:rFonts w:ascii="Times" w:eastAsia="Times" w:hAnsi="Times" w:cs="Times"/>
          <w:sz w:val="28"/>
          <w:szCs w:val="28"/>
        </w:rPr>
        <w:t xml:space="preserve">, 142 So. 894, 896 (Fla. 1932). </w:t>
      </w:r>
    </w:p>
    <w:p w:rsidR="00BF2B94" w:rsidRDefault="00910232">
      <w:pPr>
        <w:widowControl w:val="0"/>
        <w:numPr>
          <w:ilvl w:val="0"/>
          <w:numId w:val="1"/>
        </w:numPr>
        <w:spacing w:after="100" w:line="480" w:lineRule="auto"/>
        <w:ind w:left="0" w:hanging="450"/>
        <w:contextualSpacing/>
        <w:rPr>
          <w:rFonts w:ascii="Times" w:eastAsia="Times" w:hAnsi="Times" w:cs="Times"/>
          <w:sz w:val="28"/>
          <w:szCs w:val="28"/>
        </w:rPr>
      </w:pPr>
      <w:r>
        <w:rPr>
          <w:rFonts w:ascii="Times" w:eastAsia="Times" w:hAnsi="Times" w:cs="Times"/>
          <w:sz w:val="28"/>
          <w:szCs w:val="28"/>
        </w:rPr>
        <w:t xml:space="preserve">Thus, this case must otherwise be </w:t>
      </w:r>
      <w:proofErr w:type="gramStart"/>
      <w:r>
        <w:rPr>
          <w:rFonts w:ascii="Times" w:eastAsia="Times" w:hAnsi="Times" w:cs="Times"/>
          <w:sz w:val="28"/>
          <w:szCs w:val="28"/>
        </w:rPr>
        <w:t>Certified</w:t>
      </w:r>
      <w:proofErr w:type="gramEnd"/>
      <w:r>
        <w:rPr>
          <w:rFonts w:ascii="Times" w:eastAsia="Times" w:hAnsi="Times" w:cs="Times"/>
          <w:sz w:val="28"/>
          <w:szCs w:val="28"/>
        </w:rPr>
        <w:t xml:space="preserve"> for review</w:t>
      </w:r>
      <w:r>
        <w:rPr>
          <w:rFonts w:ascii="Times" w:eastAsia="Times" w:hAnsi="Times" w:cs="Times"/>
          <w:sz w:val="28"/>
          <w:szCs w:val="28"/>
        </w:rPr>
        <w:t xml:space="preserve"> to the Florida Supreme Court. </w:t>
      </w:r>
      <w:r>
        <w:rPr>
          <w:rFonts w:ascii="Times" w:eastAsia="Times" w:hAnsi="Times" w:cs="Times"/>
          <w:sz w:val="28"/>
          <w:szCs w:val="28"/>
        </w:rPr>
        <w:br/>
      </w:r>
      <w:r>
        <w:rPr>
          <w:rFonts w:ascii="Times" w:eastAsia="Times" w:hAnsi="Times" w:cs="Times"/>
          <w:sz w:val="28"/>
          <w:szCs w:val="28"/>
        </w:rPr>
        <w:lastRenderedPageBreak/>
        <w:t>The Judgment must now be reversed and vacated.</w:t>
      </w:r>
    </w:p>
    <w:p w:rsidR="00BF2B94" w:rsidRDefault="00910232">
      <w:pPr>
        <w:widowControl w:val="0"/>
        <w:spacing w:after="100" w:line="480" w:lineRule="auto"/>
        <w:rPr>
          <w:rFonts w:ascii="Times" w:eastAsia="Times" w:hAnsi="Times" w:cs="Times"/>
          <w:sz w:val="28"/>
          <w:szCs w:val="28"/>
        </w:rPr>
      </w:pPr>
      <w:r>
        <w:rPr>
          <w:rFonts w:ascii="Times" w:eastAsia="Times" w:hAnsi="Times" w:cs="Times"/>
          <w:sz w:val="28"/>
          <w:szCs w:val="28"/>
        </w:rPr>
        <w:t xml:space="preserve">WHEREFORE, it is respectfully prayed for an Order granting the rehearing, reversing and vacating the Per </w:t>
      </w:r>
      <w:proofErr w:type="spellStart"/>
      <w:r>
        <w:rPr>
          <w:rFonts w:ascii="Times" w:eastAsia="Times" w:hAnsi="Times" w:cs="Times"/>
          <w:sz w:val="28"/>
          <w:szCs w:val="28"/>
        </w:rPr>
        <w:t>Curiam</w:t>
      </w:r>
      <w:proofErr w:type="spellEnd"/>
      <w:r>
        <w:rPr>
          <w:rFonts w:ascii="Times" w:eastAsia="Times" w:hAnsi="Times" w:cs="Times"/>
          <w:sz w:val="28"/>
          <w:szCs w:val="28"/>
        </w:rPr>
        <w:t xml:space="preserve"> affirmance and Final Judgment of the lower court, and remanding t</w:t>
      </w:r>
      <w:r>
        <w:rPr>
          <w:rFonts w:ascii="Times" w:eastAsia="Times" w:hAnsi="Times" w:cs="Times"/>
          <w:sz w:val="28"/>
          <w:szCs w:val="28"/>
        </w:rPr>
        <w:t>he case to the Lower Tribunal for further proceedings and new Trial or alternatively issuing a detailed written decision and clarification of the Order and certifying the matter to the Florida Supreme Court and for such other and further relief as may be j</w:t>
      </w:r>
      <w:r>
        <w:rPr>
          <w:rFonts w:ascii="Times" w:eastAsia="Times" w:hAnsi="Times" w:cs="Times"/>
          <w:sz w:val="28"/>
          <w:szCs w:val="28"/>
        </w:rPr>
        <w:t xml:space="preserve">ust and proper. </w:t>
      </w:r>
    </w:p>
    <w:p w:rsidR="00BF2B94" w:rsidRDefault="00910232">
      <w:pPr>
        <w:widowControl w:val="0"/>
        <w:spacing w:after="100"/>
        <w:rPr>
          <w:rFonts w:ascii="Times" w:eastAsia="Times" w:hAnsi="Times" w:cs="Times"/>
          <w:sz w:val="28"/>
          <w:szCs w:val="28"/>
        </w:rPr>
      </w:pPr>
      <w:r>
        <w:rPr>
          <w:rFonts w:ascii="Times" w:eastAsia="Times" w:hAnsi="Times" w:cs="Times"/>
          <w:sz w:val="28"/>
          <w:szCs w:val="28"/>
        </w:rPr>
        <w:t>Dated: May 27th, 2017</w:t>
      </w:r>
    </w:p>
    <w:p w:rsidR="00BF2B94" w:rsidRDefault="00910232">
      <w:pPr>
        <w:widowControl w:val="0"/>
        <w:spacing w:after="100" w:line="240" w:lineRule="auto"/>
        <w:ind w:left="5040" w:firstLine="720"/>
        <w:rPr>
          <w:rFonts w:ascii="Times" w:eastAsia="Times" w:hAnsi="Times" w:cs="Times"/>
          <w:b/>
          <w:sz w:val="28"/>
          <w:szCs w:val="28"/>
          <w:u w:val="single"/>
        </w:rPr>
      </w:pPr>
      <w:r>
        <w:rPr>
          <w:rFonts w:ascii="Times" w:eastAsia="Times" w:hAnsi="Times" w:cs="Times"/>
          <w:b/>
          <w:sz w:val="28"/>
          <w:szCs w:val="28"/>
          <w:u w:val="single"/>
        </w:rPr>
        <w:t>/s/ Eliot Ivan Bernstein</w:t>
      </w:r>
    </w:p>
    <w:p w:rsidR="00BF2B94" w:rsidRDefault="00910232">
      <w:pPr>
        <w:widowControl w:val="0"/>
        <w:spacing w:after="100" w:line="240" w:lineRule="auto"/>
        <w:ind w:left="5040" w:firstLine="720"/>
        <w:rPr>
          <w:rFonts w:ascii="Times" w:eastAsia="Times" w:hAnsi="Times" w:cs="Times"/>
          <w:sz w:val="28"/>
          <w:szCs w:val="28"/>
        </w:rPr>
      </w:pPr>
      <w:r>
        <w:rPr>
          <w:rFonts w:ascii="Times" w:eastAsia="Times" w:hAnsi="Times" w:cs="Times"/>
          <w:sz w:val="28"/>
          <w:szCs w:val="28"/>
        </w:rPr>
        <w:t xml:space="preserve">Eliot Ivan Bernstein  </w:t>
      </w:r>
    </w:p>
    <w:p w:rsidR="00BF2B94" w:rsidRDefault="00910232">
      <w:pPr>
        <w:widowControl w:val="0"/>
        <w:spacing w:after="100" w:line="240" w:lineRule="auto"/>
        <w:ind w:left="5040" w:firstLine="720"/>
        <w:rPr>
          <w:rFonts w:ascii="Times" w:eastAsia="Times" w:hAnsi="Times" w:cs="Times"/>
          <w:sz w:val="28"/>
          <w:szCs w:val="28"/>
        </w:rPr>
      </w:pPr>
      <w:r>
        <w:rPr>
          <w:rFonts w:ascii="Times" w:eastAsia="Times" w:hAnsi="Times" w:cs="Times"/>
          <w:sz w:val="28"/>
          <w:szCs w:val="28"/>
        </w:rPr>
        <w:t xml:space="preserve">2753 NW 34th St. </w:t>
      </w:r>
    </w:p>
    <w:p w:rsidR="00BF2B94" w:rsidRDefault="00910232">
      <w:pPr>
        <w:widowControl w:val="0"/>
        <w:spacing w:after="100" w:line="240" w:lineRule="auto"/>
        <w:ind w:left="5040" w:firstLine="720"/>
        <w:rPr>
          <w:rFonts w:ascii="Times" w:eastAsia="Times" w:hAnsi="Times" w:cs="Times"/>
          <w:sz w:val="28"/>
          <w:szCs w:val="28"/>
        </w:rPr>
      </w:pPr>
      <w:r>
        <w:rPr>
          <w:rFonts w:ascii="Times" w:eastAsia="Times" w:hAnsi="Times" w:cs="Times"/>
          <w:sz w:val="28"/>
          <w:szCs w:val="28"/>
        </w:rPr>
        <w:t xml:space="preserve">Boca Raton, FL 33434  </w:t>
      </w:r>
    </w:p>
    <w:p w:rsidR="00BF2B94" w:rsidRDefault="00910232">
      <w:pPr>
        <w:widowControl w:val="0"/>
        <w:spacing w:after="100" w:line="240" w:lineRule="auto"/>
        <w:ind w:left="5040" w:firstLine="720"/>
        <w:rPr>
          <w:rFonts w:ascii="Times" w:eastAsia="Times" w:hAnsi="Times" w:cs="Times"/>
          <w:sz w:val="28"/>
          <w:szCs w:val="28"/>
        </w:rPr>
      </w:pPr>
      <w:r>
        <w:rPr>
          <w:rFonts w:ascii="Times" w:eastAsia="Times" w:hAnsi="Times" w:cs="Times"/>
          <w:sz w:val="28"/>
          <w:szCs w:val="28"/>
        </w:rPr>
        <w:t>561-245-8588</w:t>
      </w:r>
    </w:p>
    <w:p w:rsidR="00BF2B94" w:rsidRDefault="00910232">
      <w:pPr>
        <w:widowControl w:val="0"/>
        <w:spacing w:after="100" w:line="240" w:lineRule="auto"/>
        <w:ind w:left="5760"/>
        <w:rPr>
          <w:rFonts w:ascii="Times" w:eastAsia="Times" w:hAnsi="Times" w:cs="Times"/>
          <w:sz w:val="28"/>
          <w:szCs w:val="28"/>
        </w:rPr>
      </w:pPr>
      <w:r>
        <w:rPr>
          <w:rFonts w:ascii="Times" w:eastAsia="Times" w:hAnsi="Times" w:cs="Times"/>
          <w:sz w:val="28"/>
          <w:szCs w:val="28"/>
        </w:rPr>
        <w:t>iviewit@iviewit.tv</w:t>
      </w:r>
    </w:p>
    <w:p w:rsidR="00BF2B94" w:rsidRDefault="00910232">
      <w:pPr>
        <w:widowControl w:val="0"/>
        <w:spacing w:after="100"/>
        <w:jc w:val="center"/>
        <w:rPr>
          <w:rFonts w:ascii="Times" w:eastAsia="Times" w:hAnsi="Times" w:cs="Times"/>
          <w:b/>
          <w:sz w:val="28"/>
          <w:szCs w:val="28"/>
        </w:rPr>
      </w:pPr>
      <w:r>
        <w:rPr>
          <w:rFonts w:ascii="Times" w:eastAsia="Times" w:hAnsi="Times" w:cs="Times"/>
          <w:b/>
          <w:sz w:val="28"/>
          <w:szCs w:val="28"/>
        </w:rPr>
        <w:t>CERTIFICATE OF SERVICE</w:t>
      </w:r>
    </w:p>
    <w:p w:rsidR="00BF2B94" w:rsidRDefault="00910232">
      <w:pPr>
        <w:widowControl w:val="0"/>
        <w:spacing w:after="100"/>
        <w:rPr>
          <w:rFonts w:ascii="Times" w:eastAsia="Times" w:hAnsi="Times" w:cs="Times"/>
          <w:sz w:val="28"/>
          <w:szCs w:val="28"/>
        </w:rPr>
      </w:pPr>
      <w:r>
        <w:rPr>
          <w:rFonts w:ascii="Times" w:eastAsia="Times" w:hAnsi="Times" w:cs="Times"/>
          <w:sz w:val="28"/>
          <w:szCs w:val="28"/>
        </w:rPr>
        <w:t>I HEREBY CERTIFY that a copy of the within has been served upon all parti</w:t>
      </w:r>
      <w:r>
        <w:rPr>
          <w:rFonts w:ascii="Times" w:eastAsia="Times" w:hAnsi="Times" w:cs="Times"/>
          <w:sz w:val="28"/>
          <w:szCs w:val="28"/>
        </w:rPr>
        <w:t>es on</w:t>
      </w:r>
    </w:p>
    <w:p w:rsidR="00BF2B94" w:rsidRDefault="00910232">
      <w:pPr>
        <w:widowControl w:val="0"/>
        <w:spacing w:after="100"/>
        <w:rPr>
          <w:rFonts w:ascii="Times" w:eastAsia="Times" w:hAnsi="Times" w:cs="Times"/>
          <w:sz w:val="28"/>
          <w:szCs w:val="28"/>
        </w:rPr>
      </w:pPr>
      <w:proofErr w:type="gramStart"/>
      <w:r>
        <w:rPr>
          <w:rFonts w:ascii="Times" w:eastAsia="Times" w:hAnsi="Times" w:cs="Times"/>
          <w:sz w:val="28"/>
          <w:szCs w:val="28"/>
        </w:rPr>
        <w:t>the</w:t>
      </w:r>
      <w:proofErr w:type="gramEnd"/>
      <w:r>
        <w:rPr>
          <w:rFonts w:ascii="Times" w:eastAsia="Times" w:hAnsi="Times" w:cs="Times"/>
          <w:sz w:val="28"/>
          <w:szCs w:val="28"/>
        </w:rPr>
        <w:t xml:space="preserve"> attached Service List by E-Mail Electronic Transmission, Court </w:t>
      </w:r>
      <w:proofErr w:type="spellStart"/>
      <w:r>
        <w:rPr>
          <w:rFonts w:ascii="Times" w:eastAsia="Times" w:hAnsi="Times" w:cs="Times"/>
          <w:sz w:val="28"/>
          <w:szCs w:val="28"/>
        </w:rPr>
        <w:t>ECF</w:t>
      </w:r>
      <w:proofErr w:type="spellEnd"/>
      <w:r>
        <w:rPr>
          <w:rFonts w:ascii="Times" w:eastAsia="Times" w:hAnsi="Times" w:cs="Times"/>
          <w:sz w:val="28"/>
          <w:szCs w:val="28"/>
        </w:rPr>
        <w:t xml:space="preserve"> on this</w:t>
      </w:r>
    </w:p>
    <w:p w:rsidR="00BF2B94" w:rsidRDefault="00910232">
      <w:pPr>
        <w:widowControl w:val="0"/>
        <w:spacing w:after="100"/>
        <w:rPr>
          <w:rFonts w:ascii="Times" w:eastAsia="Times" w:hAnsi="Times" w:cs="Times"/>
          <w:sz w:val="28"/>
          <w:szCs w:val="28"/>
        </w:rPr>
      </w:pPr>
      <w:proofErr w:type="gramStart"/>
      <w:r>
        <w:rPr>
          <w:rFonts w:ascii="Times" w:eastAsia="Times" w:hAnsi="Times" w:cs="Times"/>
          <w:sz w:val="28"/>
          <w:szCs w:val="28"/>
        </w:rPr>
        <w:t>27th day of May, 2017.</w:t>
      </w:r>
      <w:proofErr w:type="gramEnd"/>
    </w:p>
    <w:p w:rsidR="00BF2B94" w:rsidRDefault="00910232">
      <w:pPr>
        <w:widowControl w:val="0"/>
        <w:spacing w:after="100" w:line="240" w:lineRule="auto"/>
        <w:ind w:left="5040" w:firstLine="720"/>
        <w:rPr>
          <w:rFonts w:ascii="Times" w:eastAsia="Times" w:hAnsi="Times" w:cs="Times"/>
          <w:b/>
          <w:sz w:val="28"/>
          <w:szCs w:val="28"/>
          <w:u w:val="single"/>
        </w:rPr>
      </w:pPr>
      <w:r>
        <w:rPr>
          <w:rFonts w:ascii="Times" w:eastAsia="Times" w:hAnsi="Times" w:cs="Times"/>
          <w:b/>
          <w:sz w:val="28"/>
          <w:szCs w:val="28"/>
          <w:u w:val="single"/>
        </w:rPr>
        <w:t>/s/ Eliot Ivan Bernstein</w:t>
      </w:r>
    </w:p>
    <w:p w:rsidR="00BF2B94" w:rsidRDefault="00910232">
      <w:pPr>
        <w:widowControl w:val="0"/>
        <w:spacing w:after="100" w:line="240" w:lineRule="auto"/>
        <w:ind w:left="5040" w:firstLine="720"/>
        <w:rPr>
          <w:rFonts w:ascii="Times" w:eastAsia="Times" w:hAnsi="Times" w:cs="Times"/>
          <w:sz w:val="28"/>
          <w:szCs w:val="28"/>
        </w:rPr>
      </w:pPr>
      <w:r>
        <w:rPr>
          <w:rFonts w:ascii="Times" w:eastAsia="Times" w:hAnsi="Times" w:cs="Times"/>
          <w:sz w:val="28"/>
          <w:szCs w:val="28"/>
        </w:rPr>
        <w:t xml:space="preserve">Eliot Ivan Bernstein  </w:t>
      </w:r>
    </w:p>
    <w:p w:rsidR="00BF2B94" w:rsidRDefault="00910232">
      <w:pPr>
        <w:widowControl w:val="0"/>
        <w:spacing w:after="100" w:line="240" w:lineRule="auto"/>
        <w:ind w:left="5040" w:firstLine="720"/>
        <w:rPr>
          <w:rFonts w:ascii="Times" w:eastAsia="Times" w:hAnsi="Times" w:cs="Times"/>
          <w:sz w:val="28"/>
          <w:szCs w:val="28"/>
        </w:rPr>
      </w:pPr>
      <w:r>
        <w:rPr>
          <w:rFonts w:ascii="Times" w:eastAsia="Times" w:hAnsi="Times" w:cs="Times"/>
          <w:sz w:val="28"/>
          <w:szCs w:val="28"/>
        </w:rPr>
        <w:t xml:space="preserve">2753 NW 34th St. </w:t>
      </w:r>
    </w:p>
    <w:p w:rsidR="00BF2B94" w:rsidRDefault="00910232">
      <w:pPr>
        <w:widowControl w:val="0"/>
        <w:spacing w:after="100" w:line="240" w:lineRule="auto"/>
        <w:ind w:left="5040" w:firstLine="720"/>
        <w:rPr>
          <w:rFonts w:ascii="Times" w:eastAsia="Times" w:hAnsi="Times" w:cs="Times"/>
          <w:sz w:val="28"/>
          <w:szCs w:val="28"/>
        </w:rPr>
      </w:pPr>
      <w:r>
        <w:rPr>
          <w:rFonts w:ascii="Times" w:eastAsia="Times" w:hAnsi="Times" w:cs="Times"/>
          <w:sz w:val="28"/>
          <w:szCs w:val="28"/>
        </w:rPr>
        <w:t xml:space="preserve">Boca Raton, FL 33434  </w:t>
      </w:r>
    </w:p>
    <w:p w:rsidR="00BF2B94" w:rsidRDefault="00910232">
      <w:pPr>
        <w:widowControl w:val="0"/>
        <w:spacing w:after="100" w:line="240" w:lineRule="auto"/>
        <w:ind w:left="5040" w:firstLine="720"/>
        <w:rPr>
          <w:rFonts w:ascii="Times" w:eastAsia="Times" w:hAnsi="Times" w:cs="Times"/>
          <w:sz w:val="28"/>
          <w:szCs w:val="28"/>
        </w:rPr>
      </w:pPr>
      <w:r>
        <w:rPr>
          <w:rFonts w:ascii="Times" w:eastAsia="Times" w:hAnsi="Times" w:cs="Times"/>
          <w:sz w:val="28"/>
          <w:szCs w:val="28"/>
        </w:rPr>
        <w:t>561-245-8588</w:t>
      </w:r>
    </w:p>
    <w:p w:rsidR="00BF2B94" w:rsidRDefault="00910232">
      <w:pPr>
        <w:widowControl w:val="0"/>
        <w:spacing w:after="100"/>
        <w:ind w:left="5040" w:firstLine="720"/>
        <w:rPr>
          <w:rFonts w:ascii="Times" w:eastAsia="Times" w:hAnsi="Times" w:cs="Times"/>
          <w:sz w:val="28"/>
          <w:szCs w:val="28"/>
        </w:rPr>
      </w:pPr>
      <w:r>
        <w:rPr>
          <w:rFonts w:ascii="Times" w:eastAsia="Times" w:hAnsi="Times" w:cs="Times"/>
          <w:sz w:val="28"/>
          <w:szCs w:val="28"/>
        </w:rPr>
        <w:t>iviewit@iviewit.tv</w:t>
      </w:r>
    </w:p>
    <w:p w:rsidR="00BF2B94" w:rsidRDefault="00910232">
      <w:pPr>
        <w:widowControl w:val="0"/>
        <w:spacing w:after="100"/>
        <w:jc w:val="center"/>
        <w:rPr>
          <w:rFonts w:ascii="Times" w:eastAsia="Times" w:hAnsi="Times" w:cs="Times"/>
          <w:b/>
          <w:sz w:val="28"/>
          <w:szCs w:val="28"/>
        </w:rPr>
      </w:pPr>
      <w:r>
        <w:rPr>
          <w:rFonts w:ascii="Times" w:eastAsia="Times" w:hAnsi="Times" w:cs="Times"/>
          <w:b/>
          <w:sz w:val="28"/>
          <w:szCs w:val="28"/>
        </w:rPr>
        <w:t>SERVICE LIST</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0"/>
        <w:gridCol w:w="4680"/>
      </w:tblGrid>
      <w:tr w:rsidR="00BF2B94">
        <w:trPr>
          <w:trHeight w:val="2580"/>
        </w:trPr>
        <w:tc>
          <w:tcPr>
            <w:tcW w:w="46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John P. Morrissey,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330 Clematis Street, Suite 213</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West Palm Beach, FL 33401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(561) 833-0766-Telephone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(561) 833-0867 -Facsimile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Email: John P. Morrissey</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(iohn@jrnoiTisseylaw.com)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c>
          <w:tcPr>
            <w:tcW w:w="46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Lisa Friedstein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2142 Churchill Lane Highland Park, IL 60035</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lisa@frieds</w:t>
            </w:r>
            <w:r>
              <w:rPr>
                <w:rFonts w:ascii="Times New Roman" w:eastAsia="Times New Roman" w:hAnsi="Times New Roman" w:cs="Times New Roman"/>
                <w:sz w:val="20"/>
                <w:szCs w:val="20"/>
                <w:highlight w:val="white"/>
              </w:rPr>
              <w:t>teins.com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BF2B94">
        <w:trPr>
          <w:trHeight w:val="27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Peter M. Feaman,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Peter M. Feaman,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3695 West Boynton Beach Blvd., Suite 9</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Boynton Beach, FL 33436</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(561) 734-5552 -Telephone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(561) 734-5554 -Facsimile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Email: service@feamanlaw.com: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mkoskey@feamanlaw.com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Jill Iantoni</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2101 Magnolia Lane Highland Park, IL 60035</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jilliantoni@gmail.com</w:t>
            </w:r>
          </w:p>
        </w:tc>
      </w:tr>
      <w:tr w:rsidR="00BF2B94">
        <w:trPr>
          <w:trHeight w:val="39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Gary R. Shendell,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Kenneth S. Pollock,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Shendell &amp; Pollock, </w:t>
            </w:r>
            <w:proofErr w:type="spellStart"/>
            <w:r>
              <w:rPr>
                <w:rFonts w:ascii="Times New Roman" w:eastAsia="Times New Roman" w:hAnsi="Times New Roman" w:cs="Times New Roman"/>
                <w:sz w:val="20"/>
                <w:szCs w:val="20"/>
                <w:highlight w:val="white"/>
              </w:rPr>
              <w:t>P.L</w:t>
            </w:r>
            <w:proofErr w:type="spellEnd"/>
            <w:r>
              <w:rPr>
                <w:rFonts w:ascii="Times New Roman" w:eastAsia="Times New Roman" w:hAnsi="Times New Roman" w:cs="Times New Roman"/>
                <w:sz w:val="20"/>
                <w:szCs w:val="20"/>
                <w:highlight w:val="white"/>
              </w:rPr>
              <w: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2700 N. Military Trail,</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Suite 150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 33431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(561)241-2323 - Telephone (561)241-2330-Facsimile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Email: gary@shendellpollock.com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ken@shendellpollock.com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estella@shendellpollock.com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britt@shendellpollock.com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grs@shendellpollock.com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Counter Defendant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Robert Spallina,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Donald Tescher,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Tescher &amp; Spallina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925 South Federal Hwy., Suite 500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Florida 33432</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r w:rsidR="00BF2B94">
        <w:trPr>
          <w:trHeight w:val="36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Brian M. O'Connell,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Joielle A. Foglietta,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Ciklin Lubitz Martens &amp; O'Connell</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515 N. Flagler Dr., 20th Floor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West Palm Beach, FL 33401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561-832-5900-Telephone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561-833-4209 - Facsimile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Email: boconnell@ciklinlubitz.com;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w:t>
            </w:r>
            <w:r>
              <w:rPr>
                <w:rFonts w:ascii="Times New Roman" w:eastAsia="Times New Roman" w:hAnsi="Times New Roman" w:cs="Times New Roman"/>
                <w:sz w:val="20"/>
                <w:szCs w:val="20"/>
                <w:highlight w:val="white"/>
              </w:rPr>
              <w:t>foglietta@ciklinlubitz.com;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service@ciklinlubitz.com;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slobdell@ciklinliibitz.com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Counter Defendant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John J. Pankauski,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Pankauski Law Firm PLLC</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120 South Olive Avenue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7th Floor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West Palm Beach, FL 33401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courtfilings@pankauskilawfirm.com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john@pankauskilawfirm.com</w:t>
            </w:r>
          </w:p>
        </w:tc>
      </w:tr>
      <w:tr w:rsidR="00BF2B94">
        <w:trPr>
          <w:trHeight w:val="15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Counter Defendant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Mark R. Manceri, Esq., and</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Mark R. Manceri,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2929 East Commercial Boulevard</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Suite 702</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Fort Lauderdale, FL 33308</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mrmlaw@comcast.net</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Counter Defendant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Donald Tescher,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Tescher &amp; Spallina,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Wells Fargo Plaza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925 South Federal Hwy Suite 500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Florida 33432</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dtescher@tescherspallina.com</w:t>
            </w:r>
          </w:p>
        </w:tc>
      </w:tr>
      <w:tr w:rsidR="00BF2B94">
        <w:trPr>
          <w:trHeight w:val="18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Theodore Stuart Bernstein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880 Berkeley</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 33487</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tbernstein@lifeinsuranceconcepts.com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Counter Defendant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TESCHER &amp; SPALLINA, </w:t>
            </w:r>
            <w:proofErr w:type="gramStart"/>
            <w:r>
              <w:rPr>
                <w:rFonts w:ascii="Times New Roman" w:eastAsia="Times New Roman" w:hAnsi="Times New Roman" w:cs="Times New Roman"/>
                <w:i/>
                <w:sz w:val="20"/>
                <w:szCs w:val="20"/>
                <w:highlight w:val="white"/>
              </w:rPr>
              <w:t>P.A.</w:t>
            </w:r>
            <w:r>
              <w:rPr>
                <w:rFonts w:ascii="Times New Roman" w:eastAsia="Times New Roman" w:hAnsi="Times New Roman" w:cs="Times New Roman"/>
                <w:sz w:val="20"/>
                <w:szCs w:val="20"/>
                <w:highlight w:val="white"/>
              </w:rPr>
              <w:t>.</w:t>
            </w:r>
            <w:proofErr w:type="gramEnd"/>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Wells Far</w:t>
            </w:r>
            <w:r>
              <w:rPr>
                <w:rFonts w:ascii="Times New Roman" w:eastAsia="Times New Roman" w:hAnsi="Times New Roman" w:cs="Times New Roman"/>
                <w:sz w:val="20"/>
                <w:szCs w:val="20"/>
                <w:highlight w:val="white"/>
              </w:rPr>
              <w:t>go Plaza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925 South Federal Hwy Suite 500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Florida 33432</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dtescher@tescherspallina.com</w:t>
            </w:r>
          </w:p>
        </w:tc>
      </w:tr>
      <w:tr w:rsidR="00BF2B94">
        <w:trPr>
          <w:trHeight w:val="22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Theodore Stuart Bernstein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Life Insurance Concepts, Inc.</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950 Peninsula Corporate Circle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Suite 3010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 33487</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tbernstein@lifeinsuranceconcepts.com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Counter Defendant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Alan B. Rose,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PAGE, MRACHEK, FITZGERALD, </w:t>
            </w:r>
            <w:proofErr w:type="gramStart"/>
            <w:r>
              <w:rPr>
                <w:rFonts w:ascii="Times New Roman" w:eastAsia="Times New Roman" w:hAnsi="Times New Roman" w:cs="Times New Roman"/>
                <w:sz w:val="20"/>
                <w:szCs w:val="20"/>
                <w:highlight w:val="white"/>
              </w:rPr>
              <w:t>ROSE</w:t>
            </w:r>
            <w:proofErr w:type="gramEnd"/>
            <w:r>
              <w:rPr>
                <w:rFonts w:ascii="Times New Roman" w:eastAsia="Times New Roman" w:hAnsi="Times New Roman" w:cs="Times New Roman"/>
                <w:sz w:val="20"/>
                <w:szCs w:val="20"/>
                <w:highlight w:val="white"/>
              </w:rPr>
              <w:t>, KONOPKA, THOMAS &amp; WEISS,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505 South Flagler Drive, Suite 600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West Palm Beach, Florida 33401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561-355-6991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arose@pm-law.com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arose@mrachek-law.com</w:t>
            </w:r>
          </w:p>
        </w:tc>
      </w:tr>
      <w:tr w:rsidR="00BF2B94">
        <w:trPr>
          <w:trHeight w:val="23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Pamela Beth Simon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950 N. Michigan Avenue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Apartment 2603</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Chicago, IL 60611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psimon@stpcorp.com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Counter Defendant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 Louis Mrachek,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PAGE, MRACHEK, FITZGERALD, </w:t>
            </w:r>
            <w:proofErr w:type="gramStart"/>
            <w:r>
              <w:rPr>
                <w:rFonts w:ascii="Times New Roman" w:eastAsia="Times New Roman" w:hAnsi="Times New Roman" w:cs="Times New Roman"/>
                <w:sz w:val="20"/>
                <w:szCs w:val="20"/>
                <w:highlight w:val="white"/>
              </w:rPr>
              <w:t>ROSE</w:t>
            </w:r>
            <w:proofErr w:type="gramEnd"/>
            <w:r>
              <w:rPr>
                <w:rFonts w:ascii="Times New Roman" w:eastAsia="Times New Roman" w:hAnsi="Times New Roman" w:cs="Times New Roman"/>
                <w:sz w:val="20"/>
                <w:szCs w:val="20"/>
                <w:highlight w:val="white"/>
              </w:rPr>
              <w:t>, KONOPKA, THOMAS &amp; WEISS,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505 South Flagler Drive, Suite 600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West Palm Beach, Florida 33401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561-355-6991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lmrachek@mrachek-law.com</w:t>
            </w:r>
          </w:p>
        </w:tc>
      </w:tr>
      <w:tr w:rsidR="00BF2B94">
        <w:trPr>
          <w:trHeight w:val="16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Jill Iantoni</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2101 Magnolia Lane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Highland Park, IL 60035</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jilliantoni@gmail.com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Counter Defendant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Pankauski Law Firm PLLC</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120 South Olive Avenue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7th Floor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West Palm Beach, FL 33401</w:t>
            </w:r>
          </w:p>
        </w:tc>
      </w:tr>
      <w:tr w:rsidR="00BF2B94">
        <w:trPr>
          <w:trHeight w:val="25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Lisa Sue Friedstein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2142 Churchill Lane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Highland Park, IL 60035</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lisa.friedstein@gmail.com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lisa@friedsteins.com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Dennis McNamara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Executive Vice President and General Counsel </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Oppenheimer &amp; Co. Inc.</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Corporate Headquarters</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125 Broad Street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New York, NY 10004</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800-221-5588</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Dennis.m</w:t>
            </w:r>
            <w:r>
              <w:rPr>
                <w:rFonts w:ascii="Times New Roman" w:eastAsia="Times New Roman" w:hAnsi="Times New Roman" w:cs="Times New Roman"/>
                <w:sz w:val="20"/>
                <w:szCs w:val="20"/>
                <w:highlight w:val="white"/>
              </w:rPr>
              <w:t>cnamara@opco.com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info@opco.com </w:t>
            </w:r>
          </w:p>
        </w:tc>
      </w:tr>
      <w:tr w:rsidR="00BF2B94">
        <w:trPr>
          <w:trHeight w:val="22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Dennis G. </w:t>
            </w:r>
            <w:proofErr w:type="spellStart"/>
            <w:r>
              <w:rPr>
                <w:rFonts w:ascii="Times New Roman" w:eastAsia="Times New Roman" w:hAnsi="Times New Roman" w:cs="Times New Roman"/>
                <w:sz w:val="20"/>
                <w:szCs w:val="20"/>
                <w:highlight w:val="white"/>
              </w:rPr>
              <w:t>Bedley</w:t>
            </w:r>
            <w:proofErr w:type="spellEnd"/>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Chairman of the Board, Director and Chief Executive Officer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Legacy Bank of Florida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Glades Twin Plaza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2300 Glades Road</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Suite 120 West – Executive Office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 33431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info@legacybankfl.com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DBedley@LegacyBankFL.com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Hunt Worth,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President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Oppenheimer Trust Company of Delaware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405 Silverside Road</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Wilmington, DE 19809</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302-792-3500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hunt.worth@opco.com</w:t>
            </w:r>
          </w:p>
        </w:tc>
      </w:tr>
      <w:tr w:rsidR="00BF2B94">
        <w:trPr>
          <w:trHeight w:val="15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James </w:t>
            </w:r>
            <w:proofErr w:type="spellStart"/>
            <w:r>
              <w:rPr>
                <w:rFonts w:ascii="Times New Roman" w:eastAsia="Times New Roman" w:hAnsi="Times New Roman" w:cs="Times New Roman"/>
                <w:sz w:val="20"/>
                <w:szCs w:val="20"/>
                <w:highlight w:val="white"/>
              </w:rPr>
              <w:t>Dimon</w:t>
            </w:r>
            <w:proofErr w:type="spellEnd"/>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Chairman of the Board and Chief Executive Officer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JP Morgan Chase &amp; CO.</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270 Park Ave. New York, NY 10017-2070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Jamie.dimon@jpmchase.com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Neil Wolfson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President &amp; Chief Executive Officer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Wilmington Trust Company</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1100 North Market Street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Wilmington, DE 19890-0001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nwolfson@wilmingtontrust.com</w:t>
            </w:r>
          </w:p>
        </w:tc>
      </w:tr>
      <w:tr w:rsidR="00BF2B94">
        <w:trPr>
          <w:trHeight w:val="15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William McCabe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Oppenheimer &amp; Co., Inc.</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85 Broad St </w:t>
            </w:r>
            <w:proofErr w:type="spellStart"/>
            <w:r>
              <w:rPr>
                <w:rFonts w:ascii="Times New Roman" w:eastAsia="Times New Roman" w:hAnsi="Times New Roman" w:cs="Times New Roman"/>
                <w:sz w:val="20"/>
                <w:szCs w:val="20"/>
                <w:highlight w:val="white"/>
              </w:rPr>
              <w:t>Fl</w:t>
            </w:r>
            <w:proofErr w:type="spellEnd"/>
            <w:r>
              <w:rPr>
                <w:rFonts w:ascii="Times New Roman" w:eastAsia="Times New Roman" w:hAnsi="Times New Roman" w:cs="Times New Roman"/>
                <w:sz w:val="20"/>
                <w:szCs w:val="20"/>
                <w:highlight w:val="white"/>
              </w:rPr>
              <w:t xml:space="preserve"> 25</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New York, NY 10004</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William.McCabe@opco.com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STP</w:t>
            </w:r>
            <w:proofErr w:type="spellEnd"/>
            <w:r>
              <w:rPr>
                <w:rFonts w:ascii="Times New Roman" w:eastAsia="Times New Roman" w:hAnsi="Times New Roman" w:cs="Times New Roman"/>
                <w:sz w:val="20"/>
                <w:szCs w:val="20"/>
                <w:highlight w:val="white"/>
              </w:rPr>
              <w:t xml:space="preserve"> Enterprises, Inc.</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303 East Wacker Drive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Suite 210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Chicago IL 60601-5210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psimon@stpcorp.com</w:t>
            </w:r>
          </w:p>
        </w:tc>
      </w:tr>
      <w:tr w:rsidR="00BF2B94">
        <w:trPr>
          <w:trHeight w:val="25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Charles D. Rubin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Managing Partner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Gutter Chaves Josepher Rubin Forman Fleisher Miller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Corp</w:t>
            </w:r>
            <w:r>
              <w:rPr>
                <w:rFonts w:ascii="Times New Roman" w:eastAsia="Times New Roman" w:hAnsi="Times New Roman" w:cs="Times New Roman"/>
                <w:sz w:val="20"/>
                <w:szCs w:val="20"/>
                <w:highlight w:val="white"/>
              </w:rPr>
              <w:t>orate Center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2101 NW Corporate Blvd., Suite 107</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 33431-7343</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crubin@floridatax.com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Ralph S. </w:t>
            </w:r>
            <w:proofErr w:type="spellStart"/>
            <w:r>
              <w:rPr>
                <w:rFonts w:ascii="Times New Roman" w:eastAsia="Times New Roman" w:hAnsi="Times New Roman" w:cs="Times New Roman"/>
                <w:sz w:val="20"/>
                <w:szCs w:val="20"/>
                <w:highlight w:val="white"/>
              </w:rPr>
              <w:t>Janvey</w:t>
            </w:r>
            <w:proofErr w:type="spellEnd"/>
          </w:p>
          <w:p w:rsidR="00BF2B94" w:rsidRDefault="00910232">
            <w:pPr>
              <w:widowControl w:val="0"/>
              <w:spacing w:after="100"/>
              <w:ind w:left="-100"/>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Krage</w:t>
            </w:r>
            <w:proofErr w:type="spellEnd"/>
            <w:r>
              <w:rPr>
                <w:rFonts w:ascii="Times New Roman" w:eastAsia="Times New Roman" w:hAnsi="Times New Roman" w:cs="Times New Roman"/>
                <w:sz w:val="20"/>
                <w:szCs w:val="20"/>
                <w:highlight w:val="white"/>
              </w:rPr>
              <w:t xml:space="preserve"> &amp; </w:t>
            </w:r>
            <w:proofErr w:type="spellStart"/>
            <w:r>
              <w:rPr>
                <w:rFonts w:ascii="Times New Roman" w:eastAsia="Times New Roman" w:hAnsi="Times New Roman" w:cs="Times New Roman"/>
                <w:sz w:val="20"/>
                <w:szCs w:val="20"/>
                <w:highlight w:val="white"/>
              </w:rPr>
              <w:t>Janvey</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L.L.P</w:t>
            </w:r>
            <w:proofErr w:type="spellEnd"/>
            <w:r>
              <w:rPr>
                <w:rFonts w:ascii="Times New Roman" w:eastAsia="Times New Roman" w:hAnsi="Times New Roman" w:cs="Times New Roman"/>
                <w:sz w:val="20"/>
                <w:szCs w:val="20"/>
                <w:highlight w:val="white"/>
              </w:rPr>
              <w: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Federal Court Appointed Receiver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Stanford Financial Group</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2100 Ross Ave, Dallas, TX 75201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rjanvey@kjllp.com</w:t>
            </w:r>
          </w:p>
        </w:tc>
      </w:tr>
      <w:tr w:rsidR="00BF2B94">
        <w:trPr>
          <w:trHeight w:val="19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Kimberly Moran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Tescher &amp; Spallina,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Wells Fargo Plaza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925 South Federal Hwy Suite 500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Florida 33432</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kmoran@tescherspallina.com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Lindsay Baxley aka Lindsay Giles</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Life Insurance Concepts</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950 Peninsula Corporate Circle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Suite 3010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 33487</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lindsay@lifeinsuranceconcepts.com</w:t>
            </w:r>
          </w:p>
        </w:tc>
      </w:tr>
      <w:tr w:rsidR="00BF2B94">
        <w:trPr>
          <w:trHeight w:val="30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Gerald R. Lewin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CBIZ MHM, LLC</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1675 N Military Trail</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Fifth Floor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 33486</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CBIZ MHM, LLC</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General Counsel</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6480 </w:t>
            </w:r>
            <w:proofErr w:type="spellStart"/>
            <w:r>
              <w:rPr>
                <w:rFonts w:ascii="Times New Roman" w:eastAsia="Times New Roman" w:hAnsi="Times New Roman" w:cs="Times New Roman"/>
                <w:sz w:val="20"/>
                <w:szCs w:val="20"/>
                <w:highlight w:val="white"/>
              </w:rPr>
              <w:t>Rockside</w:t>
            </w:r>
            <w:proofErr w:type="spellEnd"/>
            <w:r>
              <w:rPr>
                <w:rFonts w:ascii="Times New Roman" w:eastAsia="Times New Roman" w:hAnsi="Times New Roman" w:cs="Times New Roman"/>
                <w:sz w:val="20"/>
                <w:szCs w:val="20"/>
                <w:highlight w:val="white"/>
              </w:rPr>
              <w:t xml:space="preserve"> Woods Blvd. South</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Suite 330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Cleveland, OH 44131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ATTN: General Counsel</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generalcounsel@cbiz.com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(216)447-9000</w:t>
            </w:r>
          </w:p>
        </w:tc>
      </w:tr>
      <w:tr w:rsidR="00BF2B94">
        <w:trPr>
          <w:trHeight w:val="20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Albert Gortz,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Proskauer Rose LLP</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One Boca Place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2255 Glades Road</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Suite 421 Atrium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 33431-7360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agortz@proskauer.com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Heritage Union Life Insurance Company</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 member of </w:t>
            </w:r>
            <w:proofErr w:type="spellStart"/>
            <w:r>
              <w:rPr>
                <w:rFonts w:ascii="Times New Roman" w:eastAsia="Times New Roman" w:hAnsi="Times New Roman" w:cs="Times New Roman"/>
                <w:sz w:val="20"/>
                <w:szCs w:val="20"/>
                <w:highlight w:val="white"/>
              </w:rPr>
              <w:t>WiltonRe</w:t>
            </w:r>
            <w:proofErr w:type="spellEnd"/>
            <w:r>
              <w:rPr>
                <w:rFonts w:ascii="Times New Roman" w:eastAsia="Times New Roman" w:hAnsi="Times New Roman" w:cs="Times New Roman"/>
                <w:sz w:val="20"/>
                <w:szCs w:val="20"/>
                <w:highlight w:val="white"/>
              </w:rPr>
              <w:t xml:space="preserve"> Group of Companies</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187 D</w:t>
            </w:r>
            <w:r>
              <w:rPr>
                <w:rFonts w:ascii="Times New Roman" w:eastAsia="Times New Roman" w:hAnsi="Times New Roman" w:cs="Times New Roman"/>
                <w:sz w:val="20"/>
                <w:szCs w:val="20"/>
                <w:highlight w:val="white"/>
              </w:rPr>
              <w:t>anbury Road</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Wilton, CT 06897</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cstroup@wiltonre.com</w:t>
            </w:r>
          </w:p>
        </w:tc>
      </w:tr>
      <w:tr w:rsidR="00BF2B94">
        <w:trPr>
          <w:trHeight w:val="16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Estate of Simon Bernstein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Brian M O'Connell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515 N Flagler Drive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West Palm Beach, FL 33401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boconnell@ciklinlubitz.com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Counter Defendant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Steven Lessne,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Gray Robinson,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225 NE </w:t>
            </w:r>
            <w:proofErr w:type="spellStart"/>
            <w:r>
              <w:rPr>
                <w:rFonts w:ascii="Times New Roman" w:eastAsia="Times New Roman" w:hAnsi="Times New Roman" w:cs="Times New Roman"/>
                <w:sz w:val="20"/>
                <w:szCs w:val="20"/>
                <w:highlight w:val="white"/>
              </w:rPr>
              <w:t>Mizner</w:t>
            </w:r>
            <w:proofErr w:type="spellEnd"/>
            <w:r>
              <w:rPr>
                <w:rFonts w:ascii="Times New Roman" w:eastAsia="Times New Roman" w:hAnsi="Times New Roman" w:cs="Times New Roman"/>
                <w:sz w:val="20"/>
                <w:szCs w:val="20"/>
                <w:highlight w:val="white"/>
              </w:rPr>
              <w:t xml:space="preserve"> Blvd #500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 33432</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steven.lessne@gray-robinson.com</w:t>
            </w:r>
          </w:p>
        </w:tc>
      </w:tr>
      <w:tr w:rsidR="00BF2B94">
        <w:trPr>
          <w:trHeight w:val="31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Byrd F. "Biff" Marshall, Jr.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President &amp; Managing Director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Gray Robinson,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225 NE </w:t>
            </w:r>
            <w:proofErr w:type="spellStart"/>
            <w:r>
              <w:rPr>
                <w:rFonts w:ascii="Times New Roman" w:eastAsia="Times New Roman" w:hAnsi="Times New Roman" w:cs="Times New Roman"/>
                <w:sz w:val="20"/>
                <w:szCs w:val="20"/>
                <w:highlight w:val="white"/>
              </w:rPr>
              <w:t>Mizner</w:t>
            </w:r>
            <w:proofErr w:type="spellEnd"/>
            <w:r>
              <w:rPr>
                <w:rFonts w:ascii="Times New Roman" w:eastAsia="Times New Roman" w:hAnsi="Times New Roman" w:cs="Times New Roman"/>
                <w:sz w:val="20"/>
                <w:szCs w:val="20"/>
                <w:highlight w:val="white"/>
              </w:rPr>
              <w:t xml:space="preserve"> Blvd #500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Boca Raton, FL 33432    </w:t>
            </w:r>
            <w:r>
              <w:rPr>
                <w:rFonts w:ascii="Times New Roman" w:eastAsia="Times New Roman" w:hAnsi="Times New Roman" w:cs="Times New Roman"/>
                <w:sz w:val="20"/>
                <w:szCs w:val="20"/>
                <w:highlight w:val="white"/>
              </w:rPr>
              <w:tab/>
              <w:t xml:space="preserve">                        </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biff.marshall@gray-robinson.com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Steven A. Lessne, Esq.</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Gunster, Yoakley &amp; Stewart, P.A.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777 South Flagler Drive, Suite 500 East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West Palm Beach, FL 33401</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Telephone: (561) 650-0545</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Facsimile: (561) 655-5677</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E-Mail Designations:</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slessne@gunster.com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jhoppel@gunster.com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eservice@gunster.com</w:t>
            </w:r>
          </w:p>
        </w:tc>
      </w:tr>
      <w:tr w:rsidR="00BF2B94">
        <w:trPr>
          <w:trHeight w:val="27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lastRenderedPageBreak/>
              <w:t>T&amp;S</w:t>
            </w:r>
            <w:proofErr w:type="spellEnd"/>
            <w:r>
              <w:rPr>
                <w:rFonts w:ascii="Times New Roman" w:eastAsia="Times New Roman" w:hAnsi="Times New Roman" w:cs="Times New Roman"/>
                <w:sz w:val="20"/>
                <w:szCs w:val="20"/>
                <w:highlight w:val="white"/>
              </w:rPr>
              <w:t xml:space="preserve"> Registered Agents, LLC</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Wells Fargo Plaza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925 South Federal Hwy Suite 500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Boca Raton, Florida 33432</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dtescher@tescherspallina.com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David </w:t>
            </w:r>
            <w:proofErr w:type="spellStart"/>
            <w:r>
              <w:rPr>
                <w:rFonts w:ascii="Times New Roman" w:eastAsia="Times New Roman" w:hAnsi="Times New Roman" w:cs="Times New Roman"/>
                <w:sz w:val="20"/>
                <w:szCs w:val="20"/>
                <w:highlight w:val="white"/>
              </w:rPr>
              <w:t>Lanciotti</w:t>
            </w:r>
            <w:proofErr w:type="spellEnd"/>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Executive VP and General Counsel</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LaSalle National Trust NA</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CHICAGO TITLE LAND TRUST COMPANY, as Successor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South LaSalle Street</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Suite 2750</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Chicago, IL 60603</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David.Lanciotti@ctt.com</w:t>
            </w:r>
          </w:p>
        </w:tc>
      </w:tr>
      <w:tr w:rsidR="00BF2B94">
        <w:trPr>
          <w:trHeight w:val="18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Joseph M. </w:t>
            </w:r>
            <w:proofErr w:type="spellStart"/>
            <w:r>
              <w:rPr>
                <w:rFonts w:ascii="Times New Roman" w:eastAsia="Times New Roman" w:hAnsi="Times New Roman" w:cs="Times New Roman"/>
                <w:sz w:val="20"/>
                <w:szCs w:val="20"/>
                <w:highlight w:val="white"/>
              </w:rPr>
              <w:t>Leccese</w:t>
            </w:r>
            <w:proofErr w:type="spellEnd"/>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Chairman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Proskauer Rose LLP</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Eleven Times Square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New York, NY 10036</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jleccese@proskauer.com</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Brian Moynihan</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Chairman of the Board and Chief Executive Officer</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 N Tryon St #170, Charlotte, NC 28202</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Phone:(980) 335-3561</w:t>
            </w:r>
          </w:p>
        </w:tc>
      </w:tr>
      <w:tr w:rsidR="00BF2B94">
        <w:trPr>
          <w:trHeight w:val="19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ADR &amp; MEDIATIONS SERVICES, LLC</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Diana Lewis</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2765 Tecumseh Drive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West Palm Beach, FL 33409</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(561) 758-3017 Telephone</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Email: dzlewis@aol.com</w:t>
            </w:r>
          </w:p>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(Fla. Bar No. 351350)</w:t>
            </w:r>
          </w:p>
          <w:p w:rsidR="00BF2B94" w:rsidRDefault="00910232">
            <w:pPr>
              <w:widowControl w:val="0"/>
              <w:spacing w:after="100"/>
              <w:ind w:left="-100"/>
              <w:jc w:val="center"/>
              <w:rPr>
                <w:rFonts w:ascii="Times" w:eastAsia="Times" w:hAnsi="Times" w:cs="Times"/>
                <w:sz w:val="20"/>
                <w:szCs w:val="20"/>
              </w:rPr>
            </w:pPr>
            <w:r>
              <w:rPr>
                <w:rFonts w:ascii="Times" w:eastAsia="Times" w:hAnsi="Times" w:cs="Times"/>
                <w:sz w:val="20"/>
                <w:szCs w:val="20"/>
              </w:rPr>
              <w:t xml:space="preserve"> </w:t>
            </w:r>
          </w:p>
        </w:tc>
        <w:tc>
          <w:tcPr>
            <w:tcW w:w="4680" w:type="dxa"/>
            <w:tcBorders>
              <w:top w:val="nil"/>
              <w:left w:val="nil"/>
              <w:bottom w:val="single" w:sz="7" w:space="0" w:color="000000"/>
              <w:right w:val="single" w:sz="7" w:space="0" w:color="000000"/>
            </w:tcBorders>
            <w:tcMar>
              <w:top w:w="100" w:type="dxa"/>
              <w:left w:w="100" w:type="dxa"/>
              <w:bottom w:w="100" w:type="dxa"/>
              <w:right w:w="100" w:type="dxa"/>
            </w:tcMar>
          </w:tcPr>
          <w:p w:rsidR="00BF2B94" w:rsidRDefault="00910232">
            <w:pPr>
              <w:widowControl w:val="0"/>
              <w:spacing w:after="100"/>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bl>
    <w:p w:rsidR="00BF2B94" w:rsidRDefault="00BF2B94">
      <w:pPr>
        <w:widowControl w:val="0"/>
        <w:spacing w:after="100"/>
        <w:rPr>
          <w:rFonts w:ascii="Times" w:eastAsia="Times" w:hAnsi="Times" w:cs="Times"/>
          <w:b/>
          <w:sz w:val="28"/>
          <w:szCs w:val="28"/>
        </w:rPr>
      </w:pPr>
    </w:p>
    <w:sectPr w:rsidR="00BF2B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C2C68"/>
    <w:multiLevelType w:val="multilevel"/>
    <w:tmpl w:val="8DE62E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F2B94"/>
    <w:rsid w:val="00910232"/>
    <w:rsid w:val="00B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10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10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2017-05-27T04:46:00Z</cp:lastPrinted>
  <dcterms:created xsi:type="dcterms:W3CDTF">2017-05-27T04:49:00Z</dcterms:created>
  <dcterms:modified xsi:type="dcterms:W3CDTF">2017-05-27T04:49:00Z</dcterms:modified>
</cp:coreProperties>
</file>