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11D" w:rsidRDefault="00561687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 THE CIRCUIT COURT OF THE 15TH</w:t>
      </w:r>
    </w:p>
    <w:p w:rsidR="003E311D" w:rsidRDefault="0056168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JUDICIAL CIRCUIT IN AND FOR PALM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BEACH COUNTY, FLORIDA</w:t>
      </w:r>
    </w:p>
    <w:p w:rsidR="003E311D" w:rsidRDefault="003E311D">
      <w:pPr>
        <w:spacing w:line="240" w:lineRule="auto"/>
        <w:jc w:val="center"/>
      </w:pPr>
    </w:p>
    <w:p w:rsidR="003E311D" w:rsidRDefault="0056168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CASE NO. 502013CA006759XXXXMB</w:t>
      </w:r>
    </w:p>
    <w:p w:rsidR="003E311D" w:rsidRDefault="003E311D">
      <w:pPr>
        <w:spacing w:line="240" w:lineRule="auto"/>
      </w:pPr>
    </w:p>
    <w:p w:rsidR="003E311D" w:rsidRDefault="003E311D">
      <w:pPr>
        <w:spacing w:line="240" w:lineRule="auto"/>
      </w:pP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LLOYD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WICKBOLDT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Plaintiff,</w:t>
      </w:r>
    </w:p>
    <w:p w:rsidR="003E311D" w:rsidRDefault="003E311D">
      <w:pPr>
        <w:spacing w:line="240" w:lineRule="auto"/>
      </w:pP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</w:p>
    <w:p w:rsidR="003E311D" w:rsidRDefault="003E311D">
      <w:pPr>
        <w:spacing w:line="240" w:lineRule="auto"/>
      </w:pP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 M. GONZALEZ,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AMTRUST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BANK,</w:t>
      </w: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Defendants,</w:t>
      </w:r>
    </w:p>
    <w:p w:rsidR="003E311D" w:rsidRDefault="0056168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</w:t>
      </w:r>
    </w:p>
    <w:p w:rsidR="003E311D" w:rsidRDefault="003E311D"/>
    <w:p w:rsidR="003E311D" w:rsidRDefault="00561687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 OF HEARING</w:t>
      </w:r>
    </w:p>
    <w:p w:rsidR="003E311D" w:rsidRDefault="003E311D">
      <w:pPr>
        <w:widowControl w:val="0"/>
        <w:spacing w:line="240" w:lineRule="auto"/>
        <w:ind w:right="281"/>
        <w:jc w:val="center"/>
      </w:pPr>
    </w:p>
    <w:p w:rsidR="003E311D" w:rsidRDefault="00561687">
      <w:pPr>
        <w:widowControl w:val="0"/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  TAKE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NOTICE  that  the  undersigned Defendant Julia Gonzalez, have called up for hearing the following matter for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Hearing:</w:t>
      </w:r>
    </w:p>
    <w:p w:rsidR="003E311D" w:rsidRDefault="00561687">
      <w:pPr>
        <w:widowControl w:val="0"/>
        <w:tabs>
          <w:tab w:val="left" w:pos="2619"/>
        </w:tabs>
        <w:spacing w:before="71" w:line="480" w:lineRule="auto"/>
        <w:ind w:left="2615" w:right="2090" w:hanging="142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Matter: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Defendant Julie M. Gonzalez’s Motion for Continuance and to Deny Plaintiff’s Motion for Default and to Strike Pleadings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7721600</wp:posOffset>
                </wp:positionH>
                <wp:positionV relativeFrom="paragraph">
                  <wp:posOffset>38100</wp:posOffset>
                </wp:positionV>
                <wp:extent cx="12700" cy="27559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2755900"/>
                          <a:chOff x="5345364" y="2396017"/>
                          <a:chExt cx="1269" cy="276796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345364" y="2396017"/>
                            <a:ext cx="1269" cy="2767964"/>
                            <a:chOff x="0" y="0"/>
                            <a:chExt cx="1269" cy="276796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250" cy="276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311D" w:rsidRDefault="003E31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1269" cy="27679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" h="2767965" extrusionOk="0">
                                  <a:moveTo>
                                    <a:pt x="0" y="2767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7721600</wp:posOffset>
                </wp:positionH>
                <wp:positionV relativeFrom="paragraph">
                  <wp:posOffset>38100</wp:posOffset>
                </wp:positionV>
                <wp:extent cx="12700" cy="27559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E311D" w:rsidRDefault="00561687">
      <w:pPr>
        <w:widowControl w:val="0"/>
        <w:tabs>
          <w:tab w:val="left" w:pos="2619"/>
        </w:tabs>
        <w:spacing w:before="76" w:line="480" w:lineRule="auto"/>
        <w:ind w:left="118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August 16, 2016</w:t>
      </w:r>
    </w:p>
    <w:p w:rsidR="003E311D" w:rsidRDefault="00561687">
      <w:pPr>
        <w:widowControl w:val="0"/>
        <w:tabs>
          <w:tab w:val="left" w:pos="2619"/>
        </w:tabs>
        <w:spacing w:before="71" w:line="480" w:lineRule="auto"/>
        <w:ind w:left="118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8:45 a.m.</w:t>
      </w:r>
    </w:p>
    <w:p w:rsidR="003E311D" w:rsidRDefault="003E311D">
      <w:pPr>
        <w:widowControl w:val="0"/>
        <w:spacing w:line="240" w:lineRule="auto"/>
      </w:pPr>
    </w:p>
    <w:p w:rsidR="003E311D" w:rsidRDefault="00561687">
      <w:pPr>
        <w:widowControl w:val="0"/>
        <w:tabs>
          <w:tab w:val="left" w:pos="2610"/>
        </w:tabs>
        <w:spacing w:line="240" w:lineRule="auto"/>
        <w:ind w:left="11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Honorable Judge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Oftedal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311D" w:rsidRDefault="00561687">
      <w:pPr>
        <w:widowControl w:val="0"/>
        <w:spacing w:before="11" w:line="240" w:lineRule="auto"/>
        <w:ind w:left="260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 COURTHOUSE, </w:t>
      </w:r>
    </w:p>
    <w:p w:rsidR="003E311D" w:rsidRDefault="00561687">
      <w:pPr>
        <w:widowControl w:val="0"/>
        <w:spacing w:before="11" w:line="240" w:lineRule="auto"/>
        <w:ind w:left="2605"/>
      </w:pPr>
      <w:r>
        <w:rPr>
          <w:rFonts w:ascii="Times New Roman" w:eastAsia="Times New Roman" w:hAnsi="Times New Roman" w:cs="Times New Roman"/>
          <w:sz w:val="24"/>
          <w:szCs w:val="24"/>
        </w:rPr>
        <w:t>Main Judicial Complex</w:t>
      </w:r>
    </w:p>
    <w:p w:rsidR="003E311D" w:rsidRDefault="00561687">
      <w:pPr>
        <w:widowControl w:val="0"/>
        <w:spacing w:before="11" w:line="240" w:lineRule="auto"/>
        <w:ind w:left="260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205 N. Dixie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Freeway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11D" w:rsidRDefault="00561687">
      <w:pPr>
        <w:widowControl w:val="0"/>
        <w:spacing w:before="11" w:line="240" w:lineRule="auto"/>
        <w:ind w:left="260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 Palm Beach,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33401</w:t>
      </w:r>
    </w:p>
    <w:p w:rsidR="003E311D" w:rsidRDefault="00561687">
      <w:pPr>
        <w:widowControl w:val="0"/>
        <w:spacing w:before="11" w:line="240" w:lineRule="auto"/>
        <w:ind w:left="260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Courtroom No. 10B </w:t>
      </w:r>
    </w:p>
    <w:p w:rsidR="003E311D" w:rsidRDefault="003E311D">
      <w:pPr>
        <w:jc w:val="center"/>
      </w:pPr>
    </w:p>
    <w:p w:rsidR="003E311D" w:rsidRDefault="0056168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KINDLY GOVERN YOURSELF ACCORDINGLY</w:t>
      </w:r>
    </w:p>
    <w:p w:rsidR="003E311D" w:rsidRDefault="003E311D"/>
    <w:p w:rsidR="003E311D" w:rsidRDefault="0056168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 ATTACHED FOR AMERICANS WITH DISABILITY ACT LANGUAGE</w:t>
      </w:r>
    </w:p>
    <w:p w:rsidR="003E311D" w:rsidRDefault="00561687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_X</w:t>
      </w:r>
      <w:r>
        <w:rPr>
          <w:rFonts w:ascii="Times New Roman" w:eastAsia="Times New Roman" w:hAnsi="Times New Roman" w:cs="Times New Roman"/>
          <w:sz w:val="24"/>
          <w:szCs w:val="24"/>
        </w:rPr>
        <w:t>__ Counsel has conferred with all parties who may be affected by the relief sought in the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in a good faith effort to resolve or narrow the issues raised.  </w:t>
      </w:r>
    </w:p>
    <w:p w:rsidR="003E311D" w:rsidRDefault="003E311D"/>
    <w:p w:rsidR="003E311D" w:rsidRDefault="00561687">
      <w:r>
        <w:rPr>
          <w:rFonts w:ascii="Times New Roman" w:eastAsia="Times New Roman" w:hAnsi="Times New Roman" w:cs="Times New Roman"/>
          <w:sz w:val="24"/>
          <w:szCs w:val="24"/>
        </w:rPr>
        <w:t>-----Counsel has made reasonable efforts to confer with all parties who may be affected by the relief sought in the motion but has been unable to do so.</w:t>
      </w:r>
    </w:p>
    <w:p w:rsidR="003E311D" w:rsidRDefault="003E311D"/>
    <w:p w:rsidR="003E311D" w:rsidRDefault="003E311D"/>
    <w:p w:rsidR="003E311D" w:rsidRDefault="00561687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HEREBY CERTIFY that a true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correct copy of the foregoing was sent by e-mail service via the Court's e-portal or U.S. Postal Service or email to Counsel and Parties of record listed on the attached Service List this 11th day of August, 2016.</w:t>
      </w:r>
    </w:p>
    <w:p w:rsidR="003E311D" w:rsidRDefault="003E311D"/>
    <w:p w:rsidR="003E311D" w:rsidRDefault="00561687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LIST</w:t>
      </w:r>
    </w:p>
    <w:p w:rsidR="003E311D" w:rsidRDefault="00561687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P.A. Attorney for Lloyd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Wickboldt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1036 Grove Park Circle Boynton Beach, Florida 33436 Telephone: (561) 649-1790 Facsimile: (56 1) 649-6767 anthony.aragona@att.com </w:t>
      </w:r>
    </w:p>
    <w:p w:rsidR="003E311D" w:rsidRDefault="003E311D">
      <w:pPr>
        <w:spacing w:line="259" w:lineRule="auto"/>
        <w:ind w:left="405"/>
      </w:pPr>
    </w:p>
    <w:p w:rsidR="003E311D" w:rsidRDefault="00561687">
      <w:pPr>
        <w:ind w:left="57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/s/ Julie M. Gonzalez</w:t>
      </w:r>
    </w:p>
    <w:p w:rsidR="003E311D" w:rsidRDefault="00561687">
      <w:pPr>
        <w:ind w:left="57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Julie M. Gonzalez</w:t>
      </w:r>
    </w:p>
    <w:p w:rsidR="003E311D" w:rsidRDefault="00561687">
      <w:pPr>
        <w:ind w:left="57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8212911</w:t>
      </w:r>
    </w:p>
    <w:p w:rsidR="003E311D" w:rsidRDefault="00561687">
      <w:pPr>
        <w:ind w:left="57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Pembroke Pines, FL 33082</w:t>
      </w:r>
    </w:p>
    <w:p w:rsidR="003E311D" w:rsidRDefault="00561687">
      <w:pPr>
        <w:ind w:left="57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954-245-4653</w:t>
      </w:r>
    </w:p>
    <w:p w:rsidR="003E311D" w:rsidRDefault="00561687">
      <w:pPr>
        <w:ind w:left="57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juliegonzalez64@hotmail.com</w:t>
      </w:r>
    </w:p>
    <w:p w:rsidR="003E311D" w:rsidRDefault="00561687"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E311D" w:rsidRDefault="00561687">
      <w:r>
        <w:rPr>
          <w:rFonts w:ascii="Times New Roman" w:eastAsia="Times New Roman" w:hAnsi="Times New Roman" w:cs="Times New Roman"/>
          <w:sz w:val="24"/>
          <w:szCs w:val="24"/>
        </w:rPr>
        <w:t>This notice is provided pursuant to Administrative Order No. 2.207-1/15 "If you are a person with a disability who needs any accommodation in order to participate in this proceeding, you are entitled, at no co</w:t>
      </w:r>
      <w:r>
        <w:rPr>
          <w:rFonts w:ascii="Times New Roman" w:eastAsia="Times New Roman" w:hAnsi="Times New Roman" w:cs="Times New Roman"/>
          <w:sz w:val="24"/>
          <w:szCs w:val="24"/>
        </w:rPr>
        <w:t>st to you, to the provision of certain assistance. Please contact Tammy Anton, Americans with Disabilities Act Coordinator, Palm Beach County Courthouse, 205 North Dixie Highway West Palm Beach, Florida 33401; telephone number (561) 355-4380 at least 7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before your scheduled court appearance, or immediately upon receiving this notification if the time before the scheduled appearance is less than 7 days; if you are hearing or voice impaired, call 711." </w:t>
      </w:r>
    </w:p>
    <w:p w:rsidR="003E311D" w:rsidRDefault="00561687">
      <w:r>
        <w:rPr>
          <w:rFonts w:ascii="Times New Roman" w:eastAsia="Times New Roman" w:hAnsi="Times New Roman" w:cs="Times New Roman"/>
          <w:sz w:val="24"/>
          <w:szCs w:val="24"/>
        </w:rPr>
        <w:t xml:space="preserve">"Si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minusvalida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acomodamiento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derecho,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que se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Tammy Anton, 205 N. Dixie Highway, West Palm Beach, Florida 33401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(561) 355-4380,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fijada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tribunales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discapacitaci6n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711." </w:t>
      </w:r>
    </w:p>
    <w:p w:rsidR="003E311D" w:rsidRDefault="003E311D"/>
    <w:p w:rsidR="003E311D" w:rsidRDefault="00561687">
      <w:r>
        <w:rPr>
          <w:rFonts w:ascii="Times New Roman" w:eastAsia="Times New Roman" w:hAnsi="Times New Roman" w:cs="Times New Roman"/>
          <w:sz w:val="24"/>
          <w:szCs w:val="24"/>
        </w:rPr>
        <w:t xml:space="preserve">"Si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yon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akomodasyon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patisipe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pwosedi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kalifye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pwovizyon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Tammy Anton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koodonate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Palm Beach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205 North Dixie Highway, West Palm Beach, Florida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se (561) 355-4380 nan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imedyatman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resevwa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konvokasyon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11D" w:rsidRDefault="00561687"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711."</w:t>
      </w:r>
    </w:p>
    <w:sectPr w:rsidR="003E31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311D"/>
    <w:rsid w:val="003E311D"/>
    <w:rsid w:val="005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2016-08-12T02:32:00Z</dcterms:created>
  <dcterms:modified xsi:type="dcterms:W3CDTF">2016-08-12T02:32:00Z</dcterms:modified>
</cp:coreProperties>
</file>