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31" w:rsidRDefault="002157E5" w:rsidP="002157E5">
      <w:pPr>
        <w:jc w:val="center"/>
      </w:pPr>
      <w:r>
        <w:t>Objection to Shirley Bernstein Trust Accounting</w:t>
      </w:r>
    </w:p>
    <w:p w:rsidR="00EB00FE" w:rsidRDefault="00EB00FE" w:rsidP="00EB00FE">
      <w:pPr>
        <w:jc w:val="center"/>
        <w:rPr>
          <w:b/>
        </w:rPr>
      </w:pPr>
      <w:r w:rsidRPr="00EB00FE">
        <w:rPr>
          <w:b/>
        </w:rPr>
        <w:t>Background</w:t>
      </w:r>
    </w:p>
    <w:p w:rsidR="00EB00FE" w:rsidRDefault="00EB00FE" w:rsidP="00EB00FE">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p>
    <w:p w:rsidR="00EB00FE" w:rsidRPr="00EB00FE" w:rsidRDefault="00EB00FE" w:rsidP="00EB00FE">
      <w:pPr>
        <w:pStyle w:val="ListParagraph"/>
        <w:spacing w:after="0" w:line="480" w:lineRule="auto"/>
        <w:ind w:left="360"/>
        <w:jc w:val="center"/>
        <w:rPr>
          <w:rFonts w:ascii="Times New Roman" w:eastAsia="Times New Roman" w:hAnsi="Times New Roman" w:cs="Times New Roman"/>
          <w:b/>
          <w:sz w:val="24"/>
          <w:szCs w:val="24"/>
        </w:rPr>
      </w:pPr>
      <w:bookmarkStart w:id="0" w:name="_GoBack"/>
      <w:r w:rsidRPr="00EB00FE">
        <w:rPr>
          <w:rFonts w:ascii="Times New Roman" w:eastAsia="Times New Roman" w:hAnsi="Times New Roman" w:cs="Times New Roman"/>
          <w:b/>
          <w:sz w:val="24"/>
          <w:szCs w:val="24"/>
        </w:rPr>
        <w:t>Specific Objections to Trust Accounting</w:t>
      </w:r>
    </w:p>
    <w:bookmarkEnd w:id="0"/>
    <w:p w:rsidR="00EB00FE" w:rsidRDefault="00EB00FE" w:rsidP="00EB00FE">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no known final accounting was done by the former Personal Representative Simon for the Estate of Shirley, as the Estate was closed by Simon while he was dead and no thus no Successor was appointed as the Estate was illegally closed.</w:t>
      </w:r>
    </w:p>
    <w:p w:rsidR="00EB00FE" w:rsidRPr="006D090E" w:rsidRDefault="00EB00FE" w:rsidP="00EB00FE">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Petitioner has been unable to find any code sections or case law that deal with this precedence setting situation of what happens regarding the accounting procedures when a PR closes an Estate while dead via Fraud on the Court and what the proper procedures are for the Successor PR to follow as no final accounting was produced by the dead PR Simon when he closed the Estate while dead.</w:t>
      </w:r>
    </w:p>
    <w:p w:rsidR="00EB00FE" w:rsidRDefault="00EB00FE" w:rsidP="00EB00FE">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probate code requires a resigning or removed Personal Representative to submit a final accounting but here we have a gap due to the fraud and yet, despite knowing these facts, TED has failed to seek instructions from this Court on what he should do as a fiduciary regarding this deficiency in the law and instead has chosen not to do anything and therefore there is no known prior accounting prior to TED’S appointment.</w:t>
      </w:r>
    </w:p>
    <w:p w:rsidR="00EB00FE" w:rsidRDefault="00EB00FE" w:rsidP="002157E5"/>
    <w:sectPr w:rsidR="00EB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6A08"/>
    <w:multiLevelType w:val="hybridMultilevel"/>
    <w:tmpl w:val="EB129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E5"/>
    <w:rsid w:val="001B234A"/>
    <w:rsid w:val="002157E5"/>
    <w:rsid w:val="00B63631"/>
    <w:rsid w:val="00EB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2015-04-01T09:17:00Z</dcterms:created>
  <dcterms:modified xsi:type="dcterms:W3CDTF">2015-04-02T02:43:00Z</dcterms:modified>
</cp:coreProperties>
</file>